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20"/>
        <w:jc w:val="center"/>
      </w:pPr>
      <w:r>
        <w:rPr>
          <w:rFonts w:ascii="Arial" w:cs="Arial" w:eastAsia="Arial" w:hAnsi="Arial"/>
          <w:b/>
          <w:bCs/>
          <w:color w:val="5D6D7E"/>
          <w:sz w:val="22"/>
          <w:szCs w:val="22"/>
        </w:rPr>
        <w:t xml:space="preserve">MINISTRY OF NEW &amp; RENEWABLE ENERGY</w:t>
      </w:r>
    </w:p>
    <w:p>
      <w:pPr>
        <w:spacing w:after="600"/>
        <w:jc w:val="center"/>
      </w:pPr>
      <w:r>
        <w:rPr>
          <w:rFonts w:ascii="Arial" w:cs="Arial" w:eastAsia="Arial" w:hAnsi="Arial"/>
          <w:color w:val="5D6D7E"/>
          <w:sz w:val="20"/>
          <w:szCs w:val="20"/>
        </w:rPr>
        <w:t xml:space="preserve">Government of India | New Delhi</w:t>
      </w:r>
    </w:p>
    <w:p>
      <w:pPr>
        <w:pBdr>
          <w:bottom w:val="single" w:color="0D7377" w:sz="12" w:space="1"/>
        </w:pBdr>
      </w:pPr>
      <w:r>
        <w:t xml:space="preserve"/>
      </w:r>
    </w:p>
    <w:p>
      <w:pPr>
        <w:spacing w:after="120"/>
      </w:pPr>
      <w:r>
        <w:t xml:space="preserve"/>
      </w:r>
    </w:p>
    <w:p>
      <w:pPr>
        <w:spacing w:after="120"/>
      </w:pPr>
      <w:r>
        <w:t xml:space="preserve"/>
      </w:r>
    </w:p>
    <w:p>
      <w:pPr>
        <w:spacing w:after="160"/>
        <w:jc w:val="center"/>
      </w:pPr>
      <w:r>
        <w:rPr>
          <w:rFonts w:ascii="Arial" w:cs="Arial" w:eastAsia="Arial" w:hAnsi="Arial"/>
          <w:b/>
          <w:bCs/>
          <w:color w:val="0D7377"/>
          <w:sz w:val="28"/>
          <w:szCs w:val="28"/>
        </w:rPr>
        <w:t xml:space="preserve">FEASIBILITY REPORT</w:t>
      </w:r>
    </w:p>
    <w:p>
      <w:pPr>
        <w:spacing w:after="200"/>
        <w:jc w:val="center"/>
      </w:pPr>
      <w:r>
        <w:rPr>
          <w:rFonts w:ascii="Arial" w:cs="Arial" w:eastAsia="Arial" w:hAnsi="Arial"/>
          <w:b/>
          <w:bCs/>
          <w:color w:val="1B3A6B"/>
          <w:sz w:val="40"/>
          <w:szCs w:val="40"/>
        </w:rPr>
        <w:t xml:space="preserve">ESTABLISHMENT OF PILOT WAVE ENERGY PLANTS</w:t>
      </w:r>
    </w:p>
    <w:p>
      <w:pPr>
        <w:spacing w:after="500"/>
        <w:jc w:val="center"/>
      </w:pPr>
      <w:r>
        <w:rPr>
          <w:rFonts w:ascii="Arial" w:cs="Arial" w:eastAsia="Arial" w:hAnsi="Arial"/>
          <w:b/>
          <w:bCs/>
          <w:color w:val="1B3A6B"/>
          <w:sz w:val="40"/>
          <w:szCs w:val="40"/>
        </w:rPr>
        <w:t xml:space="preserve">ALONG THE ODISHA COASTLINE</w:t>
      </w:r>
    </w:p>
    <w:p>
      <w:pPr>
        <w:pBdr>
          <w:bottom w:val="single" w:color="1B3A6B" w:sz="6" w:space="1"/>
        </w:pBdr>
      </w:pPr>
      <w:r>
        <w:t xml:space="preserve"/>
      </w:r>
    </w:p>
    <w:p>
      <w:pPr>
        <w:spacing w:after="120"/>
      </w:pPr>
      <w:r>
        <w:t xml:space="preserve"/>
      </w:r>
    </w:p>
    <w:p>
      <w:pPr>
        <w:spacing w:after="120"/>
      </w:pPr>
      <w:r>
        <w:t xml:space="preserve"/>
      </w:r>
    </w:p>
    <w:p>
      <w:pPr>
        <w:spacing w:after="80"/>
        <w:jc w:val="center"/>
      </w:pPr>
      <w:r>
        <w:rPr>
          <w:rFonts w:ascii="Arial" w:cs="Arial" w:eastAsia="Arial" w:hAnsi="Arial"/>
          <w:color w:val="5D6D7E"/>
          <w:sz w:val="20"/>
          <w:szCs w:val="20"/>
        </w:rPr>
        <w:t xml:space="preserve">Submitted by:</w:t>
      </w:r>
    </w:p>
    <w:p>
      <w:pPr>
        <w:spacing w:after="60"/>
        <w:jc w:val="center"/>
      </w:pPr>
      <w:r>
        <w:rPr>
          <w:rFonts w:ascii="Arial" w:cs="Arial" w:eastAsia="Arial" w:hAnsi="Arial"/>
          <w:b/>
          <w:bCs/>
          <w:color w:val="1B3A6B"/>
          <w:sz w:val="26"/>
          <w:szCs w:val="26"/>
        </w:rPr>
        <w:t xml:space="preserve">Dr. Debasis Pahi</w:t>
      </w:r>
    </w:p>
    <w:p>
      <w:pPr>
        <w:spacing w:after="60"/>
        <w:jc w:val="center"/>
      </w:pPr>
      <w:r>
        <w:rPr>
          <w:rFonts w:ascii="Arial" w:cs="Arial" w:eastAsia="Arial" w:hAnsi="Arial"/>
          <w:color w:val="5D6D7E"/>
          <w:sz w:val="21"/>
          <w:szCs w:val="21"/>
        </w:rPr>
        <w:t xml:space="preserve">Ph.D. (IIT Kharagpur) | UGC-NET | Assistant Professor &amp; HoD, Commerce</w:t>
      </w:r>
    </w:p>
    <w:p>
      <w:pPr>
        <w:spacing w:after="60"/>
        <w:jc w:val="center"/>
      </w:pPr>
      <w:r>
        <w:rPr>
          <w:rFonts w:ascii="Arial" w:cs="Arial" w:eastAsia="Arial" w:hAnsi="Arial"/>
          <w:color w:val="5D6D7E"/>
          <w:sz w:val="21"/>
          <w:szCs w:val="21"/>
        </w:rPr>
        <w:t xml:space="preserve">MDC Malkangiri, Vikram Dev University, Jeypore, Odisha</w:t>
      </w:r>
    </w:p>
    <w:p>
      <w:pPr>
        <w:spacing w:after="60"/>
        <w:jc w:val="center"/>
      </w:pPr>
      <w:r>
        <w:rPr>
          <w:rFonts w:ascii="Arial" w:cs="Arial" w:eastAsia="Arial" w:hAnsi="Arial"/>
          <w:color w:val="0D7377"/>
          <w:sz w:val="20"/>
          <w:szCs w:val="20"/>
        </w:rPr>
        <w:t xml:space="preserve">Email: drdebasis.research@gmail.com</w:t>
      </w:r>
    </w:p>
    <w:p>
      <w:pPr>
        <w:spacing w:after="120"/>
      </w:pPr>
      <w:r>
        <w:t xml:space="preserve"/>
      </w:r>
    </w:p>
    <w:p>
      <w:pPr>
        <w:spacing w:after="120"/>
      </w:pPr>
      <w:r>
        <w:t xml:space="preserve"/>
      </w:r>
    </w:p>
    <w:p>
      <w:pPr>
        <w:spacing w:after="120"/>
      </w:pPr>
      <w:r>
        <w:t xml:space="preserve"/>
      </w:r>
    </w:p>
    <w:p>
      <w:pPr>
        <w:spacing w:after="80"/>
        <w:jc w:val="center"/>
      </w:pPr>
      <w:r>
        <w:rPr>
          <w:rFonts w:ascii="Arial" w:cs="Arial" w:eastAsia="Arial" w:hAnsi="Arial"/>
          <w:b/>
          <w:bCs/>
          <w:color w:val="1B3A6B"/>
          <w:sz w:val="22"/>
          <w:szCs w:val="22"/>
        </w:rPr>
        <w:t xml:space="preserve">Focus Areas: Puri Beach | Chandrabhaga (Konark) | Gopalpur-on-Sea | Paradeep Coast</w:t>
      </w:r>
    </w:p>
    <w:p>
      <w:pPr>
        <w:spacing w:after="80"/>
        <w:jc w:val="center"/>
      </w:pPr>
      <w:r>
        <w:rPr>
          <w:rFonts w:ascii="Arial" w:cs="Arial" w:eastAsia="Arial" w:hAnsi="Arial"/>
          <w:color w:val="5D6D7E"/>
          <w:sz w:val="22"/>
          <w:szCs w:val="22"/>
        </w:rPr>
        <w:t xml:space="preserve">Budget Envelope: ₹20–50 Crore (Pilot Scale) | Timeline: 3–5 Years</w:t>
      </w:r>
    </w:p>
    <w:p>
      <w:pPr>
        <w:spacing w:after="120"/>
      </w:pPr>
      <w:r>
        <w:t xml:space="preserve"/>
      </w:r>
    </w:p>
    <w:p>
      <w:pPr>
        <w:spacing w:after="120"/>
      </w:pPr>
      <w:r>
        <w:t xml:space="preserve"/>
      </w:r>
    </w:p>
    <w:p>
      <w:pPr>
        <w:spacing w:after="120"/>
      </w:pPr>
      <w:r>
        <w:t xml:space="preserve"/>
      </w:r>
    </w:p>
    <w:p>
      <w:pPr>
        <w:spacing w:after="80"/>
        <w:jc w:val="center"/>
      </w:pPr>
      <w:r>
        <w:rPr>
          <w:rFonts w:ascii="Arial" w:cs="Arial" w:eastAsia="Arial" w:hAnsi="Arial"/>
          <w:b/>
          <w:bCs/>
          <w:color w:val="1B3A6B"/>
          <w:sz w:val="22"/>
          <w:szCs w:val="22"/>
        </w:rPr>
        <w:t xml:space="preserve">June 2026</w:t>
      </w:r>
    </w:p>
    <w:p>
      <w:pPr>
        <w:jc w:val="center"/>
      </w:pPr>
      <w:r>
        <w:rPr>
          <w:rFonts w:ascii="Arial" w:cs="Arial" w:eastAsia="Arial" w:hAnsi="Arial"/>
          <w:b/>
          <w:bCs/>
          <w:color w:val="E67E22"/>
          <w:sz w:val="20"/>
          <w:szCs w:val="20"/>
        </w:rPr>
        <w:t xml:space="preserve">CONFIDENTIAL – For MNRE Review Only</w:t>
      </w:r>
    </w:p>
    <w:p>
      <w:pPr>
        <w:sectPr>
          <w:pgSz w:w="11906" w:h="16838" w:orient="portrait"/>
          <w:pgMar w:top="1440" w:right="1440" w:bottom="1440" w:left="1440" w:header="708" w:footer="708" w:gutter="0"/>
          <w:pgNumType/>
          <w:docGrid w:linePitch="360"/>
        </w:sectPr>
      </w:pPr>
    </w:p>
    <w:p>
      <w:pPr>
        <w:pStyle w:val="Heading1"/>
        <w:pBdr>
          <w:bottom w:val="single" w:color="1B3A6B" w:sz="6" w:space="1"/>
        </w:pBdr>
        <w:spacing w:after="200" w:before="360"/>
      </w:pPr>
      <w:r>
        <w:rPr>
          <w:rFonts w:ascii="Arial" w:cs="Arial" w:eastAsia="Arial" w:hAnsi="Arial"/>
          <w:b/>
          <w:bCs/>
          <w:color w:val="1B3A6B"/>
          <w:sz w:val="36"/>
          <w:szCs w:val="36"/>
        </w:rPr>
        <w:t xml:space="preserve">EXECUTIVE SUMMARY</w:t>
      </w:r>
    </w:p>
    <w:p>
      <w:pPr>
        <w:spacing w:after="120" w:line="276"/>
        <w:jc w:val="both"/>
      </w:pPr>
      <w:r>
        <w:rPr>
          <w:rFonts w:ascii="Arial" w:cs="Arial" w:eastAsia="Arial" w:hAnsi="Arial"/>
          <w:color w:val="1A1A1A"/>
          <w:sz w:val="22"/>
          <w:szCs w:val="22"/>
        </w:rPr>
        <w:t xml:space="preserve">India possesses approximately 7,500 km of coastline, and the State of Odisha contributes nearly 480 km of this maritime frontier along the Bay of Bengal. The Bay of Bengal is characterised by consistent, moderate-to-high wave energy density driven by the South-West Monsoon, tropical cyclones, and seasonal swell patterns. Despite this natural endowment, wave energy remains almost entirely untapped within the national renewable energy portfolio.</w:t>
      </w:r>
    </w:p>
    <w:p>
      <w:pPr>
        <w:spacing w:after="120" w:line="276"/>
        <w:jc w:val="both"/>
      </w:pPr>
      <w:r>
        <w:rPr>
          <w:rFonts w:ascii="Arial" w:cs="Arial" w:eastAsia="Arial" w:hAnsi="Arial"/>
          <w:color w:val="1A1A1A"/>
          <w:sz w:val="22"/>
          <w:szCs w:val="22"/>
        </w:rPr>
        <w:t xml:space="preserve">This Feasibility Report, commissioned for submission to the Ministry of New and Renewable Energy (MNRE), Government of India, presents a comprehensive assessment for the establishment of pilot-scale wave energy conversion (WEC) plants at four priority coastal sites in Odisha: Puri Beach, Chandrabhaga (Konark), Gopalpur-on-Sea, and Paradeep Coast. The pilot programme is designed within a budget envelope of ₹20–50 Crore and a phased implementation timeline of 3 to 5 years.</w:t>
      </w:r>
    </w:p>
    <w:p>
      <w:pPr>
        <w:spacing w:after="120" w:line="276"/>
        <w:jc w:val="both"/>
      </w:pPr>
      <w:r>
        <w:rPr>
          <w:rFonts w:ascii="Arial" w:cs="Arial" w:eastAsia="Arial" w:hAnsi="Arial"/>
          <w:color w:val="1A1A1A"/>
          <w:sz w:val="22"/>
          <w:szCs w:val="22"/>
        </w:rPr>
        <w:t xml:space="preserve">Key findings of this study indicate average wave power density ranging from 8 to 22 kW/m along the Odisha coast, with Gopalpur-on-Sea and Chandrabhaga presenting the highest potential for early-phase commercial demonstration. Three technology pathways are evaluated in detail: Oscillating Water Column (OWC), Point Absorber, and Attenuator devices. Based on site-specific bathymetry, wave climate, infrastructure proximity, and environmental sensitivity, a hybrid deployment strategy is recommended.</w:t>
      </w:r>
    </w:p>
    <w:p>
      <w:pPr>
        <w:spacing w:after="120" w:line="276"/>
        <w:jc w:val="both"/>
      </w:pPr>
      <w:r>
        <w:rPr>
          <w:rFonts w:ascii="Arial" w:cs="Arial" w:eastAsia="Arial" w:hAnsi="Arial"/>
          <w:color w:val="1A1A1A"/>
          <w:sz w:val="22"/>
          <w:szCs w:val="22"/>
        </w:rPr>
        <w:t xml:space="preserve">The report also addresses Coastal Regulation Zone (CRZ) compliance under the CRZ Notification 2019, community and fishermen stakeholder engagement protocols, environmental impact mitigation, SDG alignment, and a comparative assessment of India’s coastal states in wave energy readiness. Financial modelling indicates a Levelized Cost of Energy (LCOE) of approximately ₹8.20–12.50 per kWh for the pilot phase, with strong potential for cost reduction to below ₹6 per kWh at commercial scale.</w:t>
      </w:r>
    </w:p>
    <w:p>
      <w:pPr>
        <w:spacing w:after="120" w:line="276"/>
        <w:jc w:val="both"/>
      </w:pPr>
      <w:r>
        <w:rPr>
          <w:rFonts w:ascii="Arial" w:cs="Arial" w:eastAsia="Arial" w:hAnsi="Arial"/>
          <w:color w:val="1A1A1A"/>
          <w:sz w:val="22"/>
          <w:szCs w:val="22"/>
        </w:rPr>
        <w:t xml:space="preserve">The report concludes with a strategic recommendation for MNRE to approve Phase-I funding for the Gopalpur-on-Sea pilot, followed by a concurrent feasibility-to-design transition at Chandrabhaga within the first 18 months of project sanctioning.</w:t>
      </w:r>
    </w:p>
    <w:p>
      <w:pPr>
        <w:spacing w:after="120"/>
      </w:pPr>
      <w:r>
        <w:t xml:space="preserve"/>
      </w:r>
    </w:p>
    <w:p>
      <w:r>
        <w:br w:type="page"/>
      </w:r>
    </w:p>
    <w:p>
      <w:pPr>
        <w:pStyle w:val="Heading1"/>
        <w:pBdr>
          <w:bottom w:val="single" w:color="1B3A6B" w:sz="6" w:space="1"/>
        </w:pBdr>
        <w:spacing w:after="200" w:before="36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3A6B" w:sz="6" w:space="1"/>
        </w:pBdr>
        <w:spacing w:after="200" w:before="360"/>
      </w:pPr>
      <w:r>
        <w:rPr>
          <w:rFonts w:ascii="Arial" w:cs="Arial" w:eastAsia="Arial" w:hAnsi="Arial"/>
          <w:b/>
          <w:bCs/>
          <w:color w:val="1B3A6B"/>
          <w:sz w:val="36"/>
          <w:szCs w:val="36"/>
        </w:rPr>
        <w:t xml:space="preserve">1. INTRODUCTION AND BACKGROUND</w:t>
      </w:r>
    </w:p>
    <w:p>
      <w:pPr>
        <w:pStyle w:val="Heading2"/>
        <w:spacing w:after="120" w:before="240"/>
      </w:pPr>
      <w:r>
        <w:rPr>
          <w:rFonts w:ascii="Arial" w:cs="Arial" w:eastAsia="Arial" w:hAnsi="Arial"/>
          <w:b/>
          <w:bCs/>
          <w:color w:val="0D7377"/>
          <w:sz w:val="28"/>
          <w:szCs w:val="28"/>
        </w:rPr>
        <w:t xml:space="preserve">1.1 Global Context of Ocean Wave Energy</w:t>
      </w:r>
    </w:p>
    <w:p>
      <w:pPr>
        <w:spacing w:after="120" w:line="276"/>
        <w:jc w:val="both"/>
      </w:pPr>
      <w:r>
        <w:rPr>
          <w:rFonts w:ascii="Arial" w:cs="Arial" w:eastAsia="Arial" w:hAnsi="Arial"/>
          <w:color w:val="1A1A1A"/>
          <w:sz w:val="22"/>
          <w:szCs w:val="22"/>
        </w:rPr>
        <w:t xml:space="preserve">Ocean wave energy is one of the most energy-dense and predictable forms of renewable energy available. Globally, the theoretical wave energy resource is estimated at approximately 32,000 TWh per year, with technically extractable potential around 500–2,000 TWh per year. Countries such as the United Kingdom, Portugal, Australia, and South Korea have advanced from laboratory prototyping to open-sea deployments. India, despite its vast coastline, remains at an early stage of policy articulation and technology deployment.</w:t>
      </w:r>
    </w:p>
    <w:p>
      <w:pPr>
        <w:pStyle w:val="Heading2"/>
        <w:spacing w:after="120" w:before="240"/>
      </w:pPr>
      <w:r>
        <w:rPr>
          <w:rFonts w:ascii="Arial" w:cs="Arial" w:eastAsia="Arial" w:hAnsi="Arial"/>
          <w:b/>
          <w:bCs/>
          <w:color w:val="0D7377"/>
          <w:sz w:val="28"/>
          <w:szCs w:val="28"/>
        </w:rPr>
        <w:t xml:space="preserve">1.2 India’s Coastal Energy Potential</w:t>
      </w:r>
    </w:p>
    <w:p>
      <w:pPr>
        <w:spacing w:after="120" w:line="276"/>
        <w:jc w:val="both"/>
      </w:pPr>
      <w:r>
        <w:rPr>
          <w:rFonts w:ascii="Arial" w:cs="Arial" w:eastAsia="Arial" w:hAnsi="Arial"/>
          <w:color w:val="1A1A1A"/>
          <w:sz w:val="22"/>
          <w:szCs w:val="22"/>
        </w:rPr>
        <w:t xml:space="preserve">The National Institute of Ocean Technology (NIOT), Chennai, has been the nodal agency for marine energy R&amp;D in India since 1993. An OWC prototype was commissioned at Vizhinjam, Kerala in 1991, generating 150 kW. However, sustained programmatic investment in wave energy has been intermittent. The National Offshore Wind Energy Policy (2015) and subsequent MNRE roadmaps have opened pathways for ocean energy inclusion, culminating in the recognition of wave energy under the ‘Ocean Energy’ category within India’s renewable energy targets.</w:t>
      </w:r>
    </w:p>
    <w:p>
      <w:pPr>
        <w:pStyle w:val="Heading2"/>
        <w:spacing w:after="120" w:before="240"/>
      </w:pPr>
      <w:r>
        <w:rPr>
          <w:rFonts w:ascii="Arial" w:cs="Arial" w:eastAsia="Arial" w:hAnsi="Arial"/>
          <w:b/>
          <w:bCs/>
          <w:color w:val="0D7377"/>
          <w:sz w:val="28"/>
          <w:szCs w:val="28"/>
        </w:rPr>
        <w:t xml:space="preserve">1.3 Odisha’s Strategic Position</w:t>
      </w:r>
    </w:p>
    <w:p>
      <w:pPr>
        <w:spacing w:after="120" w:line="276"/>
        <w:jc w:val="both"/>
      </w:pPr>
      <w:r>
        <w:rPr>
          <w:rFonts w:ascii="Arial" w:cs="Arial" w:eastAsia="Arial" w:hAnsi="Arial"/>
          <w:color w:val="1A1A1A"/>
          <w:sz w:val="22"/>
          <w:szCs w:val="22"/>
        </w:rPr>
        <w:t xml:space="preserve">Odisha’s 480 km coastline along the Bay of Bengal spans the districts of Balasore, Bhadrak, Kendrapara, Jagatsinghpur, Puri, Ganjam, and Gajapati. The coastline is characterised by a wide continental shelf, moderate-to-high wave energy flux, seasonal monsoon intensification, and proximity to national power grid infrastructure. Odisha is also one of India’s fastest-growing industrial states, with rising energy demand from sectors including aluminium smelting, steel, and ports. A pilot wave energy programme positions Odisha as a national leader in blue economy and clean energy transition.</w:t>
      </w:r>
    </w:p>
    <w:p>
      <w:pPr>
        <w:pStyle w:val="Heading2"/>
        <w:spacing w:after="120" w:before="240"/>
      </w:pPr>
      <w:r>
        <w:rPr>
          <w:rFonts w:ascii="Arial" w:cs="Arial" w:eastAsia="Arial" w:hAnsi="Arial"/>
          <w:b/>
          <w:bCs/>
          <w:color w:val="0D7377"/>
          <w:sz w:val="28"/>
          <w:szCs w:val="28"/>
        </w:rPr>
        <w:t xml:space="preserve">1.4 Objectives of This Feasibility Study</w:t>
      </w:r>
    </w:p>
    <w:p>
      <w:pPr>
        <w:pStyle w:val="ListParagraph"/>
        <w:numPr>
          <w:ilvl w:val="0"/>
          <w:numId w:val="2"/>
        </w:numPr>
        <w:spacing w:after="80"/>
      </w:pPr>
      <w:r>
        <w:rPr>
          <w:rFonts w:ascii="Arial" w:cs="Arial" w:eastAsia="Arial" w:hAnsi="Arial"/>
          <w:sz w:val="22"/>
          <w:szCs w:val="22"/>
        </w:rPr>
        <w:t xml:space="preserve">Assess wave energy resource availability at four priority coastal sites.</w:t>
      </w:r>
    </w:p>
    <w:p>
      <w:pPr>
        <w:pStyle w:val="ListParagraph"/>
        <w:numPr>
          <w:ilvl w:val="0"/>
          <w:numId w:val="2"/>
        </w:numPr>
        <w:spacing w:after="80"/>
      </w:pPr>
      <w:r>
        <w:rPr>
          <w:rFonts w:ascii="Arial" w:cs="Arial" w:eastAsia="Arial" w:hAnsi="Arial"/>
          <w:sz w:val="22"/>
          <w:szCs w:val="22"/>
        </w:rPr>
        <w:t xml:space="preserve">Evaluate appropriate wave energy conversion technologies for each site.</w:t>
      </w:r>
    </w:p>
    <w:p>
      <w:pPr>
        <w:pStyle w:val="ListParagraph"/>
        <w:numPr>
          <w:ilvl w:val="0"/>
          <w:numId w:val="2"/>
        </w:numPr>
        <w:spacing w:after="80"/>
      </w:pPr>
      <w:r>
        <w:rPr>
          <w:rFonts w:ascii="Arial" w:cs="Arial" w:eastAsia="Arial" w:hAnsi="Arial"/>
          <w:sz w:val="22"/>
          <w:szCs w:val="22"/>
        </w:rPr>
        <w:t xml:space="preserve">Conduct environmental and coastal impact assessment.</w:t>
      </w:r>
    </w:p>
    <w:p>
      <w:pPr>
        <w:pStyle w:val="ListParagraph"/>
        <w:numPr>
          <w:ilvl w:val="0"/>
          <w:numId w:val="2"/>
        </w:numPr>
        <w:spacing w:after="80"/>
      </w:pPr>
      <w:r>
        <w:rPr>
          <w:rFonts w:ascii="Arial" w:cs="Arial" w:eastAsia="Arial" w:hAnsi="Arial"/>
          <w:sz w:val="22"/>
          <w:szCs w:val="22"/>
        </w:rPr>
        <w:t xml:space="preserve">Establish a financial viability and funding framework within MNRE guidelines.</w:t>
      </w:r>
    </w:p>
    <w:p>
      <w:pPr>
        <w:pStyle w:val="ListParagraph"/>
        <w:numPr>
          <w:ilvl w:val="0"/>
          <w:numId w:val="2"/>
        </w:numPr>
        <w:spacing w:after="80"/>
      </w:pPr>
      <w:r>
        <w:rPr>
          <w:rFonts w:ascii="Arial" w:cs="Arial" w:eastAsia="Arial" w:hAnsi="Arial"/>
          <w:sz w:val="22"/>
          <w:szCs w:val="22"/>
        </w:rPr>
        <w:t xml:space="preserve">Develop a stakeholder engagement and CRZ compliance roadmap.</w:t>
      </w:r>
    </w:p>
    <w:p>
      <w:pPr>
        <w:pStyle w:val="ListParagraph"/>
        <w:numPr>
          <w:ilvl w:val="0"/>
          <w:numId w:val="2"/>
        </w:numPr>
        <w:spacing w:after="80"/>
      </w:pPr>
      <w:r>
        <w:rPr>
          <w:rFonts w:ascii="Arial" w:cs="Arial" w:eastAsia="Arial" w:hAnsi="Arial"/>
          <w:sz w:val="22"/>
          <w:szCs w:val="22"/>
        </w:rPr>
        <w:t xml:space="preserve">Align the project with India’s SDG commitments and climate obligations under Paris Agreement.</w:t>
      </w:r>
    </w:p>
    <w:p>
      <w:pPr>
        <w:pStyle w:val="ListParagraph"/>
        <w:numPr>
          <w:ilvl w:val="0"/>
          <w:numId w:val="2"/>
        </w:numPr>
        <w:spacing w:after="80"/>
      </w:pPr>
      <w:r>
        <w:rPr>
          <w:rFonts w:ascii="Arial" w:cs="Arial" w:eastAsia="Arial" w:hAnsi="Arial"/>
          <w:sz w:val="22"/>
          <w:szCs w:val="22"/>
        </w:rPr>
        <w:t xml:space="preserve">Provide a phased 3–5 year implementation plan with milestones and deliverables.</w:t>
      </w:r>
    </w:p>
    <w:p>
      <w:pPr>
        <w:spacing w:after="120"/>
      </w:pPr>
      <w:r>
        <w:t xml:space="preserve"/>
      </w:r>
    </w:p>
    <w:p>
      <w:r>
        <w:br w:type="page"/>
      </w:r>
    </w:p>
    <w:p>
      <w:pPr>
        <w:pStyle w:val="Heading1"/>
        <w:pBdr>
          <w:bottom w:val="single" w:color="1B3A6B" w:sz="6" w:space="1"/>
        </w:pBdr>
        <w:spacing w:after="200" w:before="360"/>
      </w:pPr>
      <w:r>
        <w:rPr>
          <w:rFonts w:ascii="Arial" w:cs="Arial" w:eastAsia="Arial" w:hAnsi="Arial"/>
          <w:b/>
          <w:bCs/>
          <w:color w:val="1B3A6B"/>
          <w:sz w:val="36"/>
          <w:szCs w:val="36"/>
        </w:rPr>
        <w:t xml:space="preserve">2. WAVE ENERGY RESOURCE ASSESSMENT</w:t>
      </w:r>
    </w:p>
    <w:p>
      <w:pPr>
        <w:pStyle w:val="Heading2"/>
        <w:spacing w:after="120" w:before="240"/>
      </w:pPr>
      <w:r>
        <w:rPr>
          <w:rFonts w:ascii="Arial" w:cs="Arial" w:eastAsia="Arial" w:hAnsi="Arial"/>
          <w:b/>
          <w:bCs/>
          <w:color w:val="0D7377"/>
          <w:sz w:val="28"/>
          <w:szCs w:val="28"/>
        </w:rPr>
        <w:t xml:space="preserve">2.1 Oceanographic Profile of the Odisha Coast</w:t>
      </w:r>
    </w:p>
    <w:p>
      <w:pPr>
        <w:spacing w:after="120" w:line="276"/>
        <w:jc w:val="both"/>
      </w:pPr>
      <w:r>
        <w:rPr>
          <w:rFonts w:ascii="Arial" w:cs="Arial" w:eastAsia="Arial" w:hAnsi="Arial"/>
          <w:color w:val="1A1A1A"/>
          <w:sz w:val="22"/>
          <w:szCs w:val="22"/>
        </w:rPr>
        <w:t xml:space="preserve">The Bay of Bengal is a semi-enclosed sea characterised by strong seasonal variability in wave climate driven by the South-West Monsoon (June–September) and the North-East Monsoon (October–December). Mean significant wave heights (Hs) along the Odisha coast range from 0.5 m in the post-monsoon calm season to 3.5–4.5 m during peak monsoon and cyclonic events. The dominant wave periods range from 6 to 12 seconds, yielding wave power densities well suited for pilot-scale exploitation.</w:t>
      </w:r>
    </w:p>
    <w:p>
      <w:pPr>
        <w:pStyle w:val="Heading2"/>
        <w:spacing w:after="120" w:before="240"/>
      </w:pPr>
      <w:r>
        <w:rPr>
          <w:rFonts w:ascii="Arial" w:cs="Arial" w:eastAsia="Arial" w:hAnsi="Arial"/>
          <w:b/>
          <w:bCs/>
          <w:color w:val="0D7377"/>
          <w:sz w:val="28"/>
          <w:szCs w:val="28"/>
        </w:rPr>
        <w:t xml:space="preserve">2.2 Site-Specific Wave Energy Assessment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6"/>
        <w:gridCol w:w="1406"/>
        <w:gridCol w:w="1406"/>
        <w:gridCol w:w="1406"/>
        <w:gridCol w:w="1602"/>
      </w:tblGrid>
      <w:tr>
        <w:trPr>
          <w:tblHeader/>
        </w:trPr>
        <w:tc>
          <w:tcPr>
            <w:tcW w:type="dxa" w:w="18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Site</w:t>
            </w:r>
          </w:p>
        </w:tc>
        <w:tc>
          <w:tcPr>
            <w:tcW w:type="dxa" w:w="140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Avg. Hs (m)</w:t>
            </w:r>
          </w:p>
        </w:tc>
        <w:tc>
          <w:tcPr>
            <w:tcW w:type="dxa" w:w="140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Avg. Tp (sec)</w:t>
            </w:r>
          </w:p>
        </w:tc>
        <w:tc>
          <w:tcPr>
            <w:tcW w:type="dxa" w:w="140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Wave Power Density (kW/m)</w:t>
            </w:r>
          </w:p>
        </w:tc>
        <w:tc>
          <w:tcPr>
            <w:tcW w:type="dxa" w:w="140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Seabed Depth (m @ 1km)</w:t>
            </w:r>
          </w:p>
        </w:tc>
        <w:tc>
          <w:tcPr>
            <w:tcW w:type="dxa" w:w="1602"/>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Pilot Suitability</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Puri Beach</w:t>
            </w:r>
          </w:p>
        </w:tc>
        <w:tc>
          <w:tcPr>
            <w:tcW w:type="dxa" w:w="14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1.1–1.8</w:t>
            </w:r>
          </w:p>
        </w:tc>
        <w:tc>
          <w:tcPr>
            <w:tcW w:type="dxa" w:w="14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7–9</w:t>
            </w:r>
          </w:p>
        </w:tc>
        <w:tc>
          <w:tcPr>
            <w:tcW w:type="dxa" w:w="14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8–12 kW/m</w:t>
            </w:r>
          </w:p>
        </w:tc>
        <w:tc>
          <w:tcPr>
            <w:tcW w:type="dxa" w:w="14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8–15 m</w:t>
            </w:r>
          </w:p>
        </w:tc>
        <w:tc>
          <w:tcPr>
            <w:tcW w:type="dxa" w:w="160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Moderate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Chandrabhaga (Konark)</w:t>
            </w:r>
          </w:p>
        </w:tc>
        <w:tc>
          <w:tcPr>
            <w:tcW w:type="dxa" w:w="14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1.4–2.2</w:t>
            </w:r>
          </w:p>
        </w:tc>
        <w:tc>
          <w:tcPr>
            <w:tcW w:type="dxa" w:w="14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8–11</w:t>
            </w:r>
          </w:p>
        </w:tc>
        <w:tc>
          <w:tcPr>
            <w:tcW w:type="dxa" w:w="14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14–18 kW/m</w:t>
            </w:r>
          </w:p>
        </w:tc>
        <w:tc>
          <w:tcPr>
            <w:tcW w:type="dxa" w:w="14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12–20 m</w:t>
            </w:r>
          </w:p>
        </w:tc>
        <w:tc>
          <w:tcPr>
            <w:tcW w:type="dxa" w:w="160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Gopalpur-on-Sea</w:t>
            </w:r>
          </w:p>
        </w:tc>
        <w:tc>
          <w:tcPr>
            <w:tcW w:type="dxa" w:w="14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1.6–2.5</w:t>
            </w:r>
          </w:p>
        </w:tc>
        <w:tc>
          <w:tcPr>
            <w:tcW w:type="dxa" w:w="14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8–12</w:t>
            </w:r>
          </w:p>
        </w:tc>
        <w:tc>
          <w:tcPr>
            <w:tcW w:type="dxa" w:w="14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18–22 kW/m</w:t>
            </w:r>
          </w:p>
        </w:tc>
        <w:tc>
          <w:tcPr>
            <w:tcW w:type="dxa" w:w="14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15–25 m</w:t>
            </w:r>
          </w:p>
        </w:tc>
        <w:tc>
          <w:tcPr>
            <w:tcW w:type="dxa" w:w="160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Very High</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Paradeep Coast</w:t>
            </w:r>
          </w:p>
        </w:tc>
        <w:tc>
          <w:tcPr>
            <w:tcW w:type="dxa" w:w="14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1.0–1.6</w:t>
            </w:r>
          </w:p>
        </w:tc>
        <w:tc>
          <w:tcPr>
            <w:tcW w:type="dxa" w:w="14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6–9</w:t>
            </w:r>
          </w:p>
        </w:tc>
        <w:tc>
          <w:tcPr>
            <w:tcW w:type="dxa" w:w="14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8–13 kW/m</w:t>
            </w:r>
          </w:p>
        </w:tc>
        <w:tc>
          <w:tcPr>
            <w:tcW w:type="dxa" w:w="14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10–18 m</w:t>
            </w:r>
          </w:p>
        </w:tc>
        <w:tc>
          <w:tcPr>
            <w:tcW w:type="dxa" w:w="160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Moderate</w:t>
            </w:r>
          </w:p>
        </w:tc>
      </w:tr>
    </w:tbl>
    <w:p>
      <w:pPr>
        <w:spacing w:after="120"/>
      </w:pPr>
      <w:r>
        <w:t xml:space="preserve"/>
      </w:r>
    </w:p>
    <w:p>
      <w:pPr>
        <w:spacing w:after="120" w:line="276"/>
        <w:jc w:val="both"/>
      </w:pPr>
      <w:r>
        <w:rPr>
          <w:rFonts w:ascii="Arial" w:cs="Arial" w:eastAsia="Arial" w:hAnsi="Arial"/>
          <w:color w:val="1A1A1A"/>
          <w:sz w:val="22"/>
          <w:szCs w:val="22"/>
        </w:rPr>
        <w:t xml:space="preserve">Source: Derived from NIOT wave atlas data, IMD coastal observation buoy records, and ERA5 reanalysis hindcast (1993–2024).</w:t>
      </w:r>
    </w:p>
    <w:p>
      <w:pPr>
        <w:pStyle w:val="Heading2"/>
        <w:spacing w:after="120" w:before="240"/>
      </w:pPr>
      <w:r>
        <w:rPr>
          <w:rFonts w:ascii="Arial" w:cs="Arial" w:eastAsia="Arial" w:hAnsi="Arial"/>
          <w:b/>
          <w:bCs/>
          <w:color w:val="0D7377"/>
          <w:sz w:val="28"/>
          <w:szCs w:val="28"/>
        </w:rPr>
        <w:t xml:space="preserve">2.3 Seasonal Variability and Reliability</w:t>
      </w:r>
    </w:p>
    <w:p>
      <w:pPr>
        <w:spacing w:after="120" w:line="276"/>
        <w:jc w:val="both"/>
      </w:pPr>
      <w:r>
        <w:rPr>
          <w:rFonts w:ascii="Arial" w:cs="Arial" w:eastAsia="Arial" w:hAnsi="Arial"/>
          <w:color w:val="1A1A1A"/>
          <w:sz w:val="22"/>
          <w:szCs w:val="22"/>
        </w:rPr>
        <w:t xml:space="preserve">Wave energy availability on the Odisha coast follows a strong seasonal pattern. The monsoon season (June–September) delivers the highest wave energy flux, accounting for approximately 55–60% of annual wave energy. The pre-monsoon months of March–May contribute a secondary peak. The post-monsoon period (January–February) represents the lowest energy window. Pilot plant design must therefore account for survivability during cyclonic conditions (significant wave height exceeding 6–8 m during severe events) and operational intermittency management through hybrid storage or grid-tie provisions.</w:t>
      </w:r>
    </w:p>
    <w:p>
      <w:pPr>
        <w:pStyle w:val="Heading2"/>
        <w:spacing w:after="120" w:before="240"/>
      </w:pPr>
      <w:r>
        <w:rPr>
          <w:rFonts w:ascii="Arial" w:cs="Arial" w:eastAsia="Arial" w:hAnsi="Arial"/>
          <w:b/>
          <w:bCs/>
          <w:color w:val="0D7377"/>
          <w:sz w:val="28"/>
          <w:szCs w:val="28"/>
        </w:rPr>
        <w:t xml:space="preserve">2.4 Cyclone Risk Profiling</w:t>
      </w:r>
    </w:p>
    <w:p>
      <w:pPr>
        <w:spacing w:after="120" w:line="276"/>
        <w:jc w:val="both"/>
      </w:pPr>
      <w:r>
        <w:rPr>
          <w:rFonts w:ascii="Arial" w:cs="Arial" w:eastAsia="Arial" w:hAnsi="Arial"/>
          <w:color w:val="1A1A1A"/>
          <w:sz w:val="22"/>
          <w:szCs w:val="22"/>
        </w:rPr>
        <w:t xml:space="preserve">Odisha is one of India’s most cyclone-affected states, recording 22 major cyclonic events between 1970 and 2024. Any wave energy infrastructure must comply with IS:875 Part 3 (Wind Loads) and incorporate mooring and anchoring systems rated for cyclone Category 4 conditions. Cyclone-resilient design is a non-negotiable engineering specification for all four sites.</w:t>
      </w:r>
    </w:p>
    <w:p>
      <w:pPr>
        <w:spacing w:after="120"/>
      </w:pPr>
      <w:r>
        <w:t xml:space="preserve"/>
      </w:r>
    </w:p>
    <w:p>
      <w:r>
        <w:br w:type="page"/>
      </w:r>
    </w:p>
    <w:p>
      <w:pPr>
        <w:pStyle w:val="Heading1"/>
        <w:pBdr>
          <w:bottom w:val="single" w:color="1B3A6B" w:sz="6" w:space="1"/>
        </w:pBdr>
        <w:spacing w:after="200" w:before="360"/>
      </w:pPr>
      <w:r>
        <w:rPr>
          <w:rFonts w:ascii="Arial" w:cs="Arial" w:eastAsia="Arial" w:hAnsi="Arial"/>
          <w:b/>
          <w:bCs/>
          <w:color w:val="1B3A6B"/>
          <w:sz w:val="36"/>
          <w:szCs w:val="36"/>
        </w:rPr>
        <w:t xml:space="preserve">3. TECHNOLOGY SELECTION</w:t>
      </w:r>
    </w:p>
    <w:p>
      <w:pPr>
        <w:pStyle w:val="Heading2"/>
        <w:spacing w:after="120" w:before="240"/>
      </w:pPr>
      <w:r>
        <w:rPr>
          <w:rFonts w:ascii="Arial" w:cs="Arial" w:eastAsia="Arial" w:hAnsi="Arial"/>
          <w:b/>
          <w:bCs/>
          <w:color w:val="0D7377"/>
          <w:sz w:val="28"/>
          <w:szCs w:val="28"/>
        </w:rPr>
        <w:t xml:space="preserve">3.1 Overview of Wave Energy Conversion Technologies</w:t>
      </w:r>
    </w:p>
    <w:p>
      <w:pPr>
        <w:spacing w:after="120" w:line="276"/>
        <w:jc w:val="both"/>
      </w:pPr>
      <w:r>
        <w:rPr>
          <w:rFonts w:ascii="Arial" w:cs="Arial" w:eastAsia="Arial" w:hAnsi="Arial"/>
          <w:color w:val="1A1A1A"/>
          <w:sz w:val="22"/>
          <w:szCs w:val="22"/>
        </w:rPr>
        <w:t xml:space="preserve">Three principal WEC technology families have been evaluated for their suitability to Odisha’s nearshore wave regime, water depth conditions, and coastal infrastructure context:</w:t>
      </w:r>
    </w:p>
    <w:p>
      <w:pPr>
        <w:pStyle w:val="Heading3"/>
        <w:spacing w:after="80" w:before="180"/>
      </w:pPr>
      <w:r>
        <w:rPr>
          <w:rFonts w:ascii="Arial" w:cs="Arial" w:eastAsia="Arial" w:hAnsi="Arial"/>
          <w:b/>
          <w:bCs/>
          <w:color w:val="1B3A6B"/>
          <w:sz w:val="24"/>
          <w:szCs w:val="24"/>
        </w:rPr>
        <w:t xml:space="preserve">3.1.1 Oscillating Water Column (OWC)</w:t>
      </w:r>
    </w:p>
    <w:p>
      <w:pPr>
        <w:spacing w:after="120" w:line="276"/>
        <w:jc w:val="both"/>
      </w:pPr>
      <w:r>
        <w:rPr>
          <w:rFonts w:ascii="Arial" w:cs="Arial" w:eastAsia="Arial" w:hAnsi="Arial"/>
          <w:color w:val="1A1A1A"/>
          <w:sz w:val="22"/>
          <w:szCs w:val="22"/>
        </w:rPr>
        <w:t xml:space="preserve">OWC devices comprise a partially submerged air chamber open to the sea below the water line. As waves enter and exit the chamber, the oscillating water column compresses and decompresses trapped air, driving a Wells turbine to generate electricity. OWC technology is the most mature WEC technology globally, with demonstrated installations in India (Vizhinjam, Kerala), UK (LIMPET, Islay), Spain, and Australia.</w:t>
      </w:r>
    </w:p>
    <w:p>
      <w:pPr>
        <w:pStyle w:val="ListParagraph"/>
        <w:numPr>
          <w:ilvl w:val="0"/>
          <w:numId w:val="3"/>
        </w:numPr>
        <w:spacing w:after="80"/>
      </w:pPr>
      <w:r>
        <w:rPr>
          <w:rFonts w:ascii="Arial" w:cs="Arial" w:eastAsia="Arial" w:hAnsi="Arial"/>
          <w:sz w:val="22"/>
          <w:szCs w:val="22"/>
        </w:rPr>
        <w:t xml:space="preserve">Best suited for: shoreline or near-shore fixed installations, water depths of 8–20 m</w:t>
      </w:r>
    </w:p>
    <w:p>
      <w:pPr>
        <w:pStyle w:val="ListParagraph"/>
        <w:numPr>
          <w:ilvl w:val="0"/>
          <w:numId w:val="3"/>
        </w:numPr>
        <w:spacing w:after="80"/>
      </w:pPr>
      <w:r>
        <w:rPr>
          <w:rFonts w:ascii="Arial" w:cs="Arial" w:eastAsia="Arial" w:hAnsi="Arial"/>
          <w:sz w:val="22"/>
          <w:szCs w:val="22"/>
        </w:rPr>
        <w:t xml:space="preserve">Recommended sites: Puri Beach (breakwater-integrated), Paradeep (harbour-mounted)</w:t>
      </w:r>
    </w:p>
    <w:p>
      <w:pPr>
        <w:pStyle w:val="ListParagraph"/>
        <w:numPr>
          <w:ilvl w:val="0"/>
          <w:numId w:val="3"/>
        </w:numPr>
        <w:spacing w:after="80"/>
      </w:pPr>
      <w:r>
        <w:rPr>
          <w:rFonts w:ascii="Arial" w:cs="Arial" w:eastAsia="Arial" w:hAnsi="Arial"/>
          <w:sz w:val="22"/>
          <w:szCs w:val="22"/>
        </w:rPr>
        <w:t xml:space="preserve">Estimated unit capacity: 50–500 kW per device</w:t>
      </w:r>
    </w:p>
    <w:p>
      <w:pPr>
        <w:pStyle w:val="ListParagraph"/>
        <w:numPr>
          <w:ilvl w:val="0"/>
          <w:numId w:val="3"/>
        </w:numPr>
        <w:spacing w:after="80"/>
      </w:pPr>
      <w:r>
        <w:rPr>
          <w:rFonts w:ascii="Arial" w:cs="Arial" w:eastAsia="Arial" w:hAnsi="Arial"/>
          <w:sz w:val="22"/>
          <w:szCs w:val="22"/>
        </w:rPr>
        <w:t xml:space="preserve">Technology Readiness Level (TRL): 7–8</w:t>
      </w:r>
    </w:p>
    <w:p>
      <w:pPr>
        <w:pStyle w:val="Heading3"/>
        <w:spacing w:after="80" w:before="180"/>
      </w:pPr>
      <w:r>
        <w:rPr>
          <w:rFonts w:ascii="Arial" w:cs="Arial" w:eastAsia="Arial" w:hAnsi="Arial"/>
          <w:b/>
          <w:bCs/>
          <w:color w:val="1B3A6B"/>
          <w:sz w:val="24"/>
          <w:szCs w:val="24"/>
        </w:rPr>
        <w:t xml:space="preserve">3.1.2 Point Absorber</w:t>
      </w:r>
    </w:p>
    <w:p>
      <w:pPr>
        <w:spacing w:after="120" w:line="276"/>
        <w:jc w:val="both"/>
      </w:pPr>
      <w:r>
        <w:rPr>
          <w:rFonts w:ascii="Arial" w:cs="Arial" w:eastAsia="Arial" w:hAnsi="Arial"/>
          <w:color w:val="1A1A1A"/>
          <w:sz w:val="22"/>
          <w:szCs w:val="22"/>
        </w:rPr>
        <w:t xml:space="preserve">Point absorbers are floating buoy-type devices that harness energy from the relative motion between a floating buoy and a fixed or semi-fixed reference structure (such as an anchored plate or seabed-tethered system). The vertical heave motion drives a linear generator or hydraulic power take-off (PTO) system. Point absorbers perform well in moderate swell and are particularly suited for offshore deployment in the 15–50 m depth range.</w:t>
      </w:r>
    </w:p>
    <w:p>
      <w:pPr>
        <w:pStyle w:val="ListParagraph"/>
        <w:numPr>
          <w:ilvl w:val="0"/>
          <w:numId w:val="3"/>
        </w:numPr>
        <w:spacing w:after="80"/>
      </w:pPr>
      <w:r>
        <w:rPr>
          <w:rFonts w:ascii="Arial" w:cs="Arial" w:eastAsia="Arial" w:hAnsi="Arial"/>
          <w:sz w:val="22"/>
          <w:szCs w:val="22"/>
        </w:rPr>
        <w:t xml:space="preserve">Best suited for: offshore or nearshore deployment, water depths of 15–40 m</w:t>
      </w:r>
    </w:p>
    <w:p>
      <w:pPr>
        <w:pStyle w:val="ListParagraph"/>
        <w:numPr>
          <w:ilvl w:val="0"/>
          <w:numId w:val="3"/>
        </w:numPr>
        <w:spacing w:after="80"/>
      </w:pPr>
      <w:r>
        <w:rPr>
          <w:rFonts w:ascii="Arial" w:cs="Arial" w:eastAsia="Arial" w:hAnsi="Arial"/>
          <w:sz w:val="22"/>
          <w:szCs w:val="22"/>
        </w:rPr>
        <w:t xml:space="preserve">Recommended sites: Gopalpur-on-Sea, Chandrabhaga</w:t>
      </w:r>
    </w:p>
    <w:p>
      <w:pPr>
        <w:pStyle w:val="ListParagraph"/>
        <w:numPr>
          <w:ilvl w:val="0"/>
          <w:numId w:val="3"/>
        </w:numPr>
        <w:spacing w:after="80"/>
      </w:pPr>
      <w:r>
        <w:rPr>
          <w:rFonts w:ascii="Arial" w:cs="Arial" w:eastAsia="Arial" w:hAnsi="Arial"/>
          <w:sz w:val="22"/>
          <w:szCs w:val="22"/>
        </w:rPr>
        <w:t xml:space="preserve">Estimated unit capacity: 100–750 kW per array</w:t>
      </w:r>
    </w:p>
    <w:p>
      <w:pPr>
        <w:pStyle w:val="ListParagraph"/>
        <w:numPr>
          <w:ilvl w:val="0"/>
          <w:numId w:val="3"/>
        </w:numPr>
        <w:spacing w:after="80"/>
      </w:pPr>
      <w:r>
        <w:rPr>
          <w:rFonts w:ascii="Arial" w:cs="Arial" w:eastAsia="Arial" w:hAnsi="Arial"/>
          <w:sz w:val="22"/>
          <w:szCs w:val="22"/>
        </w:rPr>
        <w:t xml:space="preserve">TRL: 5–7</w:t>
      </w:r>
    </w:p>
    <w:p>
      <w:pPr>
        <w:pStyle w:val="Heading3"/>
        <w:spacing w:after="80" w:before="180"/>
      </w:pPr>
      <w:r>
        <w:rPr>
          <w:rFonts w:ascii="Arial" w:cs="Arial" w:eastAsia="Arial" w:hAnsi="Arial"/>
          <w:b/>
          <w:bCs/>
          <w:color w:val="1B3A6B"/>
          <w:sz w:val="24"/>
          <w:szCs w:val="24"/>
        </w:rPr>
        <w:t xml:space="preserve">3.1.3 Attenuator (Wave Snake / Pelamis-type)</w:t>
      </w:r>
    </w:p>
    <w:p>
      <w:pPr>
        <w:spacing w:after="120" w:line="276"/>
        <w:jc w:val="both"/>
      </w:pPr>
      <w:r>
        <w:rPr>
          <w:rFonts w:ascii="Arial" w:cs="Arial" w:eastAsia="Arial" w:hAnsi="Arial"/>
          <w:color w:val="1A1A1A"/>
          <w:sz w:val="22"/>
          <w:szCs w:val="22"/>
        </w:rPr>
        <w:t xml:space="preserve">Attenuator devices are elongated, multi-segment floating structures aligned parallel to the wave direction. Flexing between segments drives hydraulic pistons that power generators. The Pelamis P2 device (Scotland) demonstrated this technology at 750 kW capacity. Attenuators are suited for energetic, open-sea wave environments and deeper offshore deployment.</w:t>
      </w:r>
    </w:p>
    <w:p>
      <w:pPr>
        <w:pStyle w:val="ListParagraph"/>
        <w:numPr>
          <w:ilvl w:val="0"/>
          <w:numId w:val="3"/>
        </w:numPr>
        <w:spacing w:after="80"/>
      </w:pPr>
      <w:r>
        <w:rPr>
          <w:rFonts w:ascii="Arial" w:cs="Arial" w:eastAsia="Arial" w:hAnsi="Arial"/>
          <w:sz w:val="22"/>
          <w:szCs w:val="22"/>
        </w:rPr>
        <w:t xml:space="preserve">Best suited for: open-sea, moderate-to-high wave energy, depths of 25–80 m</w:t>
      </w:r>
    </w:p>
    <w:p>
      <w:pPr>
        <w:pStyle w:val="ListParagraph"/>
        <w:numPr>
          <w:ilvl w:val="0"/>
          <w:numId w:val="3"/>
        </w:numPr>
        <w:spacing w:after="80"/>
      </w:pPr>
      <w:r>
        <w:rPr>
          <w:rFonts w:ascii="Arial" w:cs="Arial" w:eastAsia="Arial" w:hAnsi="Arial"/>
          <w:sz w:val="22"/>
          <w:szCs w:val="22"/>
        </w:rPr>
        <w:t xml:space="preserve">Recommended sites: Gopalpur-on-Sea (offshore array)</w:t>
      </w:r>
    </w:p>
    <w:p>
      <w:pPr>
        <w:pStyle w:val="ListParagraph"/>
        <w:numPr>
          <w:ilvl w:val="0"/>
          <w:numId w:val="3"/>
        </w:numPr>
        <w:spacing w:after="80"/>
      </w:pPr>
      <w:r>
        <w:rPr>
          <w:rFonts w:ascii="Arial" w:cs="Arial" w:eastAsia="Arial" w:hAnsi="Arial"/>
          <w:sz w:val="22"/>
          <w:szCs w:val="22"/>
        </w:rPr>
        <w:t xml:space="preserve">Estimated unit capacity: 500–1,000 kW per device</w:t>
      </w:r>
    </w:p>
    <w:p>
      <w:pPr>
        <w:pStyle w:val="ListParagraph"/>
        <w:numPr>
          <w:ilvl w:val="0"/>
          <w:numId w:val="3"/>
        </w:numPr>
        <w:spacing w:after="80"/>
      </w:pPr>
      <w:r>
        <w:rPr>
          <w:rFonts w:ascii="Arial" w:cs="Arial" w:eastAsia="Arial" w:hAnsi="Arial"/>
          <w:sz w:val="22"/>
          <w:szCs w:val="22"/>
        </w:rPr>
        <w:t xml:space="preserve">TRL: 5–6</w:t>
      </w:r>
    </w:p>
    <w:p>
      <w:pPr>
        <w:pStyle w:val="Heading2"/>
        <w:spacing w:after="120" w:before="240"/>
      </w:pPr>
      <w:r>
        <w:rPr>
          <w:rFonts w:ascii="Arial" w:cs="Arial" w:eastAsia="Arial" w:hAnsi="Arial"/>
          <w:b/>
          <w:bCs/>
          <w:color w:val="0D7377"/>
          <w:sz w:val="28"/>
          <w:szCs w:val="28"/>
        </w:rPr>
        <w:t xml:space="preserve">3.2 Technology Recommendation Matrix</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6"/>
        <w:gridCol w:w="1560"/>
        <w:gridCol w:w="1560"/>
        <w:gridCol w:w="1900"/>
      </w:tblGrid>
      <w:tr>
        <w:trPr>
          <w:tblHeader/>
        </w:trPr>
        <w:tc>
          <w:tcPr>
            <w:tcW w:type="dxa" w:w="20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Site</w:t>
            </w:r>
          </w:p>
        </w:tc>
        <w:tc>
          <w:tcPr>
            <w:tcW w:type="dxa" w:w="200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Recommended Technology</w:t>
            </w:r>
          </w:p>
        </w:tc>
        <w:tc>
          <w:tcPr>
            <w:tcW w:type="dxa" w:w="156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Depth Zone</w:t>
            </w:r>
          </w:p>
        </w:tc>
        <w:tc>
          <w:tcPr>
            <w:tcW w:type="dxa" w:w="156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Pilot Capacity</w:t>
            </w:r>
          </w:p>
        </w:tc>
        <w:tc>
          <w:tcPr>
            <w:tcW w:type="dxa" w:w="19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Rationale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Puri Beach</w:t>
            </w:r>
          </w:p>
        </w:tc>
        <w:tc>
          <w:tcPr>
            <w:tcW w:type="dxa" w:w="20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OWC (Breakwater Integrated)</w:t>
            </w:r>
          </w:p>
        </w:tc>
        <w:tc>
          <w:tcPr>
            <w:tcW w:type="dxa" w:w="1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8–15 m</w:t>
            </w:r>
          </w:p>
        </w:tc>
        <w:tc>
          <w:tcPr>
            <w:tcW w:type="dxa" w:w="1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100–250 kW</w:t>
            </w:r>
          </w:p>
        </w:tc>
        <w:tc>
          <w:tcPr>
            <w:tcW w:type="dxa" w:w="19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Existing jetty infrastructure; tourism &amp; visibility benefit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Chandrabhaga (Konark)</w:t>
            </w:r>
          </w:p>
        </w:tc>
        <w:tc>
          <w:tcPr>
            <w:tcW w:type="dxa" w:w="2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Point Absorber Array</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15–20 m</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250–500 kW</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 wave energy; UNESCO proximity adds research value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Gopalpur-on-Sea</w:t>
            </w:r>
          </w:p>
        </w:tc>
        <w:tc>
          <w:tcPr>
            <w:tcW w:type="dxa" w:w="20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Attenuator + Point Absorber</w:t>
            </w:r>
          </w:p>
        </w:tc>
        <w:tc>
          <w:tcPr>
            <w:tcW w:type="dxa" w:w="1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20–30 m</w:t>
            </w:r>
          </w:p>
        </w:tc>
        <w:tc>
          <w:tcPr>
            <w:tcW w:type="dxa" w:w="1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500–750 kW</w:t>
            </w:r>
          </w:p>
        </w:tc>
        <w:tc>
          <w:tcPr>
            <w:tcW w:type="dxa" w:w="19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Highest wave density; deepest shelf; best commercial potential</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Paradeep Coast</w:t>
            </w:r>
          </w:p>
        </w:tc>
        <w:tc>
          <w:tcPr>
            <w:tcW w:type="dxa" w:w="20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OWC (Harbour-Mounted)</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10–18 m</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100–200 kW</w:t>
            </w:r>
          </w:p>
        </w:tc>
        <w:tc>
          <w:tcPr>
            <w:tcW w:type="dxa" w:w="1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Port electrification use case; GRIDCO grid proximity</w:t>
            </w:r>
          </w:p>
        </w:tc>
      </w:tr>
    </w:tbl>
    <w:p>
      <w:pPr>
        <w:spacing w:after="120"/>
      </w:pPr>
      <w:r>
        <w:t xml:space="preserve"/>
      </w:r>
    </w:p>
    <w:p>
      <w:r>
        <w:br w:type="page"/>
      </w:r>
    </w:p>
    <w:p>
      <w:pPr>
        <w:pStyle w:val="Heading1"/>
        <w:pBdr>
          <w:bottom w:val="single" w:color="1B3A6B" w:sz="6" w:space="1"/>
        </w:pBdr>
        <w:spacing w:after="200" w:before="360"/>
      </w:pPr>
      <w:r>
        <w:rPr>
          <w:rFonts w:ascii="Arial" w:cs="Arial" w:eastAsia="Arial" w:hAnsi="Arial"/>
          <w:b/>
          <w:bCs/>
          <w:color w:val="1B3A6B"/>
          <w:sz w:val="36"/>
          <w:szCs w:val="36"/>
        </w:rPr>
        <w:t xml:space="preserve">4. ENVIRONMENTAL &amp; COASTAL IMPACT ASSESSMENT</w:t>
      </w:r>
    </w:p>
    <w:p>
      <w:pPr>
        <w:pStyle w:val="Heading2"/>
        <w:spacing w:after="120" w:before="240"/>
      </w:pPr>
      <w:r>
        <w:rPr>
          <w:rFonts w:ascii="Arial" w:cs="Arial" w:eastAsia="Arial" w:hAnsi="Arial"/>
          <w:b/>
          <w:bCs/>
          <w:color w:val="0D7377"/>
          <w:sz w:val="28"/>
          <w:szCs w:val="28"/>
        </w:rPr>
        <w:t xml:space="preserve">4.1 Methodology</w:t>
      </w:r>
    </w:p>
    <w:p>
      <w:pPr>
        <w:spacing w:after="120" w:line="276"/>
        <w:jc w:val="both"/>
      </w:pPr>
      <w:r>
        <w:rPr>
          <w:rFonts w:ascii="Arial" w:cs="Arial" w:eastAsia="Arial" w:hAnsi="Arial"/>
          <w:color w:val="1A1A1A"/>
          <w:sz w:val="22"/>
          <w:szCs w:val="22"/>
        </w:rPr>
        <w:t xml:space="preserve">The environmental impact assessment (EIA) framework adopted in this study follows the EIA Notification 2006 (amended 2020) under the Environment Protection Act 1986, supplemented by guidelines issued by the Ministry of Environment, Forest and Climate Change (MoEFCC) for offshore and coastal energy installations. The assessment covers marine ecology, benthic habitats, fisheries, coastal geomorphology, noise and vibration impacts, and visual landscape impact.</w:t>
      </w:r>
    </w:p>
    <w:p>
      <w:pPr>
        <w:pStyle w:val="Heading2"/>
        <w:spacing w:after="120" w:before="240"/>
      </w:pPr>
      <w:r>
        <w:rPr>
          <w:rFonts w:ascii="Arial" w:cs="Arial" w:eastAsia="Arial" w:hAnsi="Arial"/>
          <w:b/>
          <w:bCs/>
          <w:color w:val="0D7377"/>
          <w:sz w:val="28"/>
          <w:szCs w:val="28"/>
        </w:rPr>
        <w:t xml:space="preserve">4.2 Site-Specific Environmental Sensitivity</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6"/>
        <w:gridCol w:w="1756"/>
        <w:gridCol w:w="1756"/>
        <w:gridCol w:w="1758"/>
      </w:tblGrid>
      <w:tr>
        <w:trPr>
          <w:tblHeader/>
        </w:trPr>
        <w:tc>
          <w:tcPr>
            <w:tcW w:type="dxa" w:w="20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Environmental Factor</w:t>
            </w:r>
          </w:p>
        </w:tc>
        <w:tc>
          <w:tcPr>
            <w:tcW w:type="dxa" w:w="175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Puri</w:t>
            </w:r>
          </w:p>
        </w:tc>
        <w:tc>
          <w:tcPr>
            <w:tcW w:type="dxa" w:w="175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Chandrabhaga</w:t>
            </w:r>
          </w:p>
        </w:tc>
        <w:tc>
          <w:tcPr>
            <w:tcW w:type="dxa" w:w="175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Gopalpur</w:t>
            </w:r>
          </w:p>
        </w:tc>
        <w:tc>
          <w:tcPr>
            <w:tcW w:type="dxa" w:w="1758"/>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Paradeep</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Olive Ridley Turtle Nesting</w:t>
            </w:r>
          </w:p>
        </w:tc>
        <w:tc>
          <w:tcPr>
            <w:tcW w:type="dxa" w:w="1756"/>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756"/>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75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Moderate</w:t>
            </w:r>
          </w:p>
        </w:tc>
        <w:tc>
          <w:tcPr>
            <w:tcW w:type="dxa" w:w="1758"/>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 – Gahirmatha proximity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Fisheries Activity</w:t>
            </w:r>
          </w:p>
        </w:tc>
        <w:tc>
          <w:tcPr>
            <w:tcW w:type="dxa" w:w="175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1756"/>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center"/>
            </w:pPr>
            <w:r>
              <w:rPr>
                <w:rFonts w:ascii="Arial" w:cs="Arial" w:eastAsia="Arial" w:hAnsi="Arial"/>
                <w:sz w:val="20"/>
                <w:szCs w:val="20"/>
              </w:rPr>
              <w:t xml:space="preserve">Moderate</w:t>
            </w:r>
          </w:p>
        </w:tc>
        <w:tc>
          <w:tcPr>
            <w:tcW w:type="dxa" w:w="1756"/>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center"/>
            </w:pPr>
            <w:r>
              <w:rPr>
                <w:rFonts w:ascii="Arial" w:cs="Arial" w:eastAsia="Arial" w:hAnsi="Arial"/>
                <w:sz w:val="20"/>
                <w:szCs w:val="20"/>
              </w:rPr>
              <w:t xml:space="preserve">Moderate</w:t>
            </w:r>
          </w:p>
        </w:tc>
        <w:tc>
          <w:tcPr>
            <w:tcW w:type="dxa" w:w="1758"/>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High</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Coastal Erosion Risk</w:t>
            </w:r>
          </w:p>
        </w:tc>
        <w:tc>
          <w:tcPr>
            <w:tcW w:type="dxa" w:w="175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Moderate</w:t>
            </w:r>
          </w:p>
        </w:tc>
        <w:tc>
          <w:tcPr>
            <w:tcW w:type="dxa" w:w="1756"/>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756"/>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758"/>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Moderate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Mangrove/Wetland Proximity</w:t>
            </w:r>
          </w:p>
        </w:tc>
        <w:tc>
          <w:tcPr>
            <w:tcW w:type="dxa" w:w="1756"/>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756"/>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756"/>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758"/>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Moderate – Mahanadi delta</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Tourism/Heritage Impact</w:t>
            </w:r>
          </w:p>
        </w:tc>
        <w:tc>
          <w:tcPr>
            <w:tcW w:type="dxa" w:w="175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175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Very High (UNESCO)</w:t>
            </w:r>
          </w:p>
        </w:tc>
        <w:tc>
          <w:tcPr>
            <w:tcW w:type="dxa" w:w="1756"/>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758"/>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center"/>
            </w:pPr>
            <w:r>
              <w:rPr>
                <w:rFonts w:ascii="Arial" w:cs="Arial" w:eastAsia="Arial" w:hAnsi="Arial"/>
                <w:sz w:val="20"/>
                <w:szCs w:val="20"/>
              </w:rPr>
              <w:t xml:space="preserve">Low</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sz w:val="20"/>
                <w:szCs w:val="20"/>
              </w:rPr>
              <w:t xml:space="preserve">Overall EIA Risk Level</w:t>
            </w:r>
          </w:p>
        </w:tc>
        <w:tc>
          <w:tcPr>
            <w:tcW w:type="dxa" w:w="17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Moderate</w:t>
            </w:r>
          </w:p>
        </w:tc>
        <w:tc>
          <w:tcPr>
            <w:tcW w:type="dxa" w:w="17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Moderate-High</w:t>
            </w:r>
          </w:p>
        </w:tc>
        <w:tc>
          <w:tcPr>
            <w:tcW w:type="dxa" w:w="17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Low-Moderate</w:t>
            </w:r>
          </w:p>
        </w:tc>
        <w:tc>
          <w:tcPr>
            <w:tcW w:type="dxa" w:w="175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Arial" w:cs="Arial" w:eastAsia="Arial" w:hAnsi="Arial"/>
                <w:sz w:val="20"/>
                <w:szCs w:val="20"/>
              </w:rPr>
              <w:t xml:space="preserve">Moderate-High</w:t>
            </w:r>
          </w:p>
        </w:tc>
      </w:tr>
    </w:tbl>
    <w:p>
      <w:pPr>
        <w:spacing w:after="120"/>
      </w:pPr>
      <w:r>
        <w:t xml:space="preserve"/>
      </w:r>
    </w:p>
    <w:p>
      <w:pPr>
        <w:pStyle w:val="Heading2"/>
        <w:spacing w:after="120" w:before="240"/>
      </w:pPr>
      <w:r>
        <w:rPr>
          <w:rFonts w:ascii="Arial" w:cs="Arial" w:eastAsia="Arial" w:hAnsi="Arial"/>
          <w:b/>
          <w:bCs/>
          <w:color w:val="0D7377"/>
          <w:sz w:val="28"/>
          <w:szCs w:val="28"/>
        </w:rPr>
        <w:t xml:space="preserve">4.3 Key Mitigation Measures</w:t>
      </w:r>
    </w:p>
    <w:p>
      <w:pPr>
        <w:pStyle w:val="ListParagraph"/>
        <w:numPr>
          <w:ilvl w:val="0"/>
          <w:numId w:val="3"/>
        </w:numPr>
        <w:spacing w:after="80"/>
      </w:pPr>
      <w:r>
        <w:rPr>
          <w:rFonts w:ascii="Arial" w:cs="Arial" w:eastAsia="Arial" w:hAnsi="Arial"/>
          <w:sz w:val="22"/>
          <w:szCs w:val="22"/>
        </w:rPr>
        <w:t xml:space="preserve">Olive Ridley protection: Seasonal shutdown of WEC array operations (November to January) coinciding with Gahirmatha and Rushikulya nesting season; underwater acoustic monitoring and bycatch exclusion devices.</w:t>
      </w:r>
    </w:p>
    <w:p>
      <w:pPr>
        <w:pStyle w:val="ListParagraph"/>
        <w:numPr>
          <w:ilvl w:val="0"/>
          <w:numId w:val="3"/>
        </w:numPr>
        <w:spacing w:after="80"/>
      </w:pPr>
      <w:r>
        <w:rPr>
          <w:rFonts w:ascii="Arial" w:cs="Arial" w:eastAsia="Arial" w:hAnsi="Arial"/>
          <w:sz w:val="22"/>
          <w:szCs w:val="22"/>
        </w:rPr>
        <w:t xml:space="preserve">Fisheries co-existence: WEC arrays shall be zoned to avoid trawling grounds; consultative buffer zones to be defined with Odisha Fishermen Welfare Society and District Fisheries Officers.</w:t>
      </w:r>
    </w:p>
    <w:p>
      <w:pPr>
        <w:pStyle w:val="ListParagraph"/>
        <w:numPr>
          <w:ilvl w:val="0"/>
          <w:numId w:val="3"/>
        </w:numPr>
        <w:spacing w:after="80"/>
      </w:pPr>
      <w:r>
        <w:rPr>
          <w:rFonts w:ascii="Arial" w:cs="Arial" w:eastAsia="Arial" w:hAnsi="Arial"/>
          <w:sz w:val="22"/>
          <w:szCs w:val="22"/>
        </w:rPr>
        <w:t xml:space="preserve">Sediment and geomorphology: Pre-deployment bathymetric survey and annual seabed monitoring; no sand extraction or dredging for device installation at Puri or Chandrabhaga.</w:t>
      </w:r>
    </w:p>
    <w:p>
      <w:pPr>
        <w:pStyle w:val="ListParagraph"/>
        <w:numPr>
          <w:ilvl w:val="0"/>
          <w:numId w:val="3"/>
        </w:numPr>
        <w:spacing w:after="80"/>
      </w:pPr>
      <w:r>
        <w:rPr>
          <w:rFonts w:ascii="Arial" w:cs="Arial" w:eastAsia="Arial" w:hAnsi="Arial"/>
          <w:sz w:val="22"/>
          <w:szCs w:val="22"/>
        </w:rPr>
        <w:t xml:space="preserve">Electromagnetic interference: Subsea cable routes to be designed to avoid EMI impact on marine fauna navigation; armoured XLPE cables with EMI-shielded joints to be used.</w:t>
      </w:r>
    </w:p>
    <w:p>
      <w:pPr>
        <w:pStyle w:val="ListParagraph"/>
        <w:numPr>
          <w:ilvl w:val="0"/>
          <w:numId w:val="3"/>
        </w:numPr>
        <w:spacing w:after="80"/>
      </w:pPr>
      <w:r>
        <w:rPr>
          <w:rFonts w:ascii="Arial" w:cs="Arial" w:eastAsia="Arial" w:hAnsi="Arial"/>
          <w:sz w:val="22"/>
          <w:szCs w:val="22"/>
        </w:rPr>
        <w:t xml:space="preserve">Visual impact at heritage sites: At Chandrabhaga/Konark, all devices to be deployed beyond the 2 km visual horizon; no above-water structures exceeding 3 m height within the viewshed of the Sun Temple.</w:t>
      </w:r>
    </w:p>
    <w:p>
      <w:r>
        <w:br w:type="page"/>
      </w:r>
    </w:p>
    <w:p>
      <w:pPr>
        <w:pStyle w:val="Heading1"/>
        <w:pBdr>
          <w:bottom w:val="single" w:color="1B3A6B" w:sz="6" w:space="1"/>
        </w:pBdr>
        <w:spacing w:after="200" w:before="360"/>
      </w:pPr>
      <w:r>
        <w:rPr>
          <w:rFonts w:ascii="Arial" w:cs="Arial" w:eastAsia="Arial" w:hAnsi="Arial"/>
          <w:b/>
          <w:bCs/>
          <w:color w:val="1B3A6B"/>
          <w:sz w:val="36"/>
          <w:szCs w:val="36"/>
        </w:rPr>
        <w:t xml:space="preserve">5. REGULATORY &amp; CRZ COMPLIANCE FRAMEWORK</w:t>
      </w:r>
    </w:p>
    <w:p>
      <w:pPr>
        <w:pStyle w:val="Heading2"/>
        <w:spacing w:after="120" w:before="240"/>
      </w:pPr>
      <w:r>
        <w:rPr>
          <w:rFonts w:ascii="Arial" w:cs="Arial" w:eastAsia="Arial" w:hAnsi="Arial"/>
          <w:b/>
          <w:bCs/>
          <w:color w:val="0D7377"/>
          <w:sz w:val="28"/>
          <w:szCs w:val="28"/>
        </w:rPr>
        <w:t xml:space="preserve">5.1 Coastal Regulation Zone (CRZ) Notification 2019</w:t>
      </w:r>
    </w:p>
    <w:p>
      <w:pPr>
        <w:spacing w:after="120" w:line="276"/>
        <w:jc w:val="both"/>
      </w:pPr>
      <w:r>
        <w:rPr>
          <w:rFonts w:ascii="Arial" w:cs="Arial" w:eastAsia="Arial" w:hAnsi="Arial"/>
          <w:color w:val="1A1A1A"/>
          <w:sz w:val="22"/>
          <w:szCs w:val="22"/>
        </w:rPr>
        <w:t xml:space="preserve">The Coastal Regulation Zone (CRZ) Notification 2019 under the Environment Protection Act classifies Odisha’s coastal zones primarily as CRZ-I (ecologically sensitive areas including mangroves, corals, wildlife habitats, and areas below HTL), CRZ-II (developed stretches including Puri town), CRZ-III (rural areas), and CRZ-IV (water areas up to 12 nautical miles). Wave energy installations offshore fall primarily within CRZ-IV jurisdiction, while any onshore electrical substation or cable landing infrastructure will require CRZ-II or CRZ-III clearances.</w:t>
      </w:r>
    </w:p>
    <w:p>
      <w:pPr>
        <w:pStyle w:val="Heading2"/>
        <w:spacing w:after="120" w:before="240"/>
      </w:pPr>
      <w:r>
        <w:rPr>
          <w:rFonts w:ascii="Arial" w:cs="Arial" w:eastAsia="Arial" w:hAnsi="Arial"/>
          <w:b/>
          <w:bCs/>
          <w:color w:val="0D7377"/>
          <w:sz w:val="28"/>
          <w:szCs w:val="28"/>
        </w:rPr>
        <w:t xml:space="preserve">5.2 Required Clearances and Approvals</w:t>
      </w:r>
    </w:p>
    <w:p>
      <w:pPr>
        <w:pStyle w:val="ListParagraph"/>
        <w:numPr>
          <w:ilvl w:val="0"/>
          <w:numId w:val="2"/>
        </w:numPr>
        <w:spacing w:after="80"/>
      </w:pPr>
      <w:r>
        <w:rPr>
          <w:rFonts w:ascii="Arial" w:cs="Arial" w:eastAsia="Arial" w:hAnsi="Arial"/>
          <w:sz w:val="22"/>
          <w:szCs w:val="22"/>
        </w:rPr>
        <w:t xml:space="preserve">Environmental Clearance (EC) from MoEFCC (Category B1 Project for pilot &lt; 50 MW)</w:t>
      </w:r>
    </w:p>
    <w:p>
      <w:pPr>
        <w:pStyle w:val="ListParagraph"/>
        <w:numPr>
          <w:ilvl w:val="0"/>
          <w:numId w:val="2"/>
        </w:numPr>
        <w:spacing w:after="80"/>
      </w:pPr>
      <w:r>
        <w:rPr>
          <w:rFonts w:ascii="Arial" w:cs="Arial" w:eastAsia="Arial" w:hAnsi="Arial"/>
          <w:sz w:val="22"/>
          <w:szCs w:val="22"/>
        </w:rPr>
        <w:t xml:space="preserve">CRZ Clearance from Odisha State Coastal Zone Management Authority (OSCZMA)</w:t>
      </w:r>
    </w:p>
    <w:p>
      <w:pPr>
        <w:pStyle w:val="ListParagraph"/>
        <w:numPr>
          <w:ilvl w:val="0"/>
          <w:numId w:val="2"/>
        </w:numPr>
        <w:spacing w:after="80"/>
      </w:pPr>
      <w:r>
        <w:rPr>
          <w:rFonts w:ascii="Arial" w:cs="Arial" w:eastAsia="Arial" w:hAnsi="Arial"/>
          <w:sz w:val="22"/>
          <w:szCs w:val="22"/>
        </w:rPr>
        <w:t xml:space="preserve">Approval from Odisha Maritime Board / Indian Navy (offshore deployment coordinates)</w:t>
      </w:r>
    </w:p>
    <w:p>
      <w:pPr>
        <w:pStyle w:val="ListParagraph"/>
        <w:numPr>
          <w:ilvl w:val="0"/>
          <w:numId w:val="2"/>
        </w:numPr>
        <w:spacing w:after="80"/>
      </w:pPr>
      <w:r>
        <w:rPr>
          <w:rFonts w:ascii="Arial" w:cs="Arial" w:eastAsia="Arial" w:hAnsi="Arial"/>
          <w:sz w:val="22"/>
          <w:szCs w:val="22"/>
        </w:rPr>
        <w:t xml:space="preserve">No Objection Certificate (NOC) from Indian Coast Guard</w:t>
      </w:r>
    </w:p>
    <w:p>
      <w:pPr>
        <w:pStyle w:val="ListParagraph"/>
        <w:numPr>
          <w:ilvl w:val="0"/>
          <w:numId w:val="2"/>
        </w:numPr>
        <w:spacing w:after="80"/>
      </w:pPr>
      <w:r>
        <w:rPr>
          <w:rFonts w:ascii="Arial" w:cs="Arial" w:eastAsia="Arial" w:hAnsi="Arial"/>
          <w:sz w:val="22"/>
          <w:szCs w:val="22"/>
        </w:rPr>
        <w:t xml:space="preserve">Forest / Wildlife Clearance (if within 10 km of protected area – applicable for Paradeep near Bhitarkanika)</w:t>
      </w:r>
    </w:p>
    <w:p>
      <w:pPr>
        <w:pStyle w:val="ListParagraph"/>
        <w:numPr>
          <w:ilvl w:val="0"/>
          <w:numId w:val="2"/>
        </w:numPr>
        <w:spacing w:after="80"/>
      </w:pPr>
      <w:r>
        <w:rPr>
          <w:rFonts w:ascii="Arial" w:cs="Arial" w:eastAsia="Arial" w:hAnsi="Arial"/>
          <w:sz w:val="22"/>
          <w:szCs w:val="22"/>
        </w:rPr>
        <w:t xml:space="preserve">Cable Landing Licence from Department of Telecommunications (DoT) for subsea cable routes</w:t>
      </w:r>
    </w:p>
    <w:p>
      <w:pPr>
        <w:pStyle w:val="ListParagraph"/>
        <w:numPr>
          <w:ilvl w:val="0"/>
          <w:numId w:val="2"/>
        </w:numPr>
        <w:spacing w:after="80"/>
      </w:pPr>
      <w:r>
        <w:rPr>
          <w:rFonts w:ascii="Arial" w:cs="Arial" w:eastAsia="Arial" w:hAnsi="Arial"/>
          <w:sz w:val="22"/>
          <w:szCs w:val="22"/>
        </w:rPr>
        <w:t xml:space="preserve">Grid connectivity approval from OPTCL/GRIDCO</w:t>
      </w:r>
    </w:p>
    <w:p>
      <w:pPr>
        <w:pStyle w:val="Heading2"/>
        <w:spacing w:after="120" w:before="240"/>
      </w:pPr>
      <w:r>
        <w:rPr>
          <w:rFonts w:ascii="Arial" w:cs="Arial" w:eastAsia="Arial" w:hAnsi="Arial"/>
          <w:b/>
          <w:bCs/>
          <w:color w:val="0D7377"/>
          <w:sz w:val="28"/>
          <w:szCs w:val="28"/>
        </w:rPr>
        <w:t xml:space="preserve">5.3 Clearance Timeline Projection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Clearance Type</w:t>
            </w:r>
          </w:p>
        </w:tc>
        <w:tc>
          <w:tcPr>
            <w:tcW w:type="dxa" w:w="24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Approx. Timeline</w:t>
            </w:r>
          </w:p>
        </w:tc>
        <w:tc>
          <w:tcPr>
            <w:tcW w:type="dxa" w:w="342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Nodal Agency</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Environmental Clearance (EC)</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12–18 months</w:t>
            </w:r>
          </w:p>
        </w:tc>
        <w:tc>
          <w:tcPr>
            <w:tcW w:type="dxa" w:w="3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MoEFCC / SEIAA, Odisha</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CRZ Clearance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6–12 months</w:t>
            </w:r>
          </w:p>
        </w:tc>
        <w:tc>
          <w:tcPr>
            <w:tcW w:type="dxa" w:w="3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OSCZMA / MoEFCC</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Maritime Boundary Approval</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3–6 months</w:t>
            </w:r>
          </w:p>
        </w:tc>
        <w:tc>
          <w:tcPr>
            <w:tcW w:type="dxa" w:w="34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Ministry of Ports, Shipping &amp; Waterways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Coast Guard NOC</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2–4 months</w:t>
            </w:r>
          </w:p>
        </w:tc>
        <w:tc>
          <w:tcPr>
            <w:tcW w:type="dxa" w:w="3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Indian Coast Guard, District 5, Paradip</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Grid Connectivity Approval</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3–6 months</w:t>
            </w:r>
          </w:p>
        </w:tc>
        <w:tc>
          <w:tcPr>
            <w:tcW w:type="dxa" w:w="34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OPTCL / GRIDCO</w:t>
            </w:r>
          </w:p>
        </w:tc>
      </w:tr>
    </w:tbl>
    <w:p>
      <w:pPr>
        <w:spacing w:after="120"/>
      </w:pPr>
      <w:r>
        <w:t xml:space="preserve"/>
      </w:r>
    </w:p>
    <w:p>
      <w:pPr>
        <w:spacing w:after="120" w:line="276"/>
        <w:jc w:val="both"/>
      </w:pPr>
      <w:r>
        <w:rPr>
          <w:rFonts w:ascii="Arial" w:cs="Arial" w:eastAsia="Arial" w:hAnsi="Arial"/>
          <w:color w:val="1A1A1A"/>
          <w:sz w:val="22"/>
          <w:szCs w:val="22"/>
        </w:rPr>
        <w:t xml:space="preserve">Note: Clearances should be initiated in parallel during the Pre-Feasibility to Detailed Project Report (DPR) transition phase (Year 1). A dedicated Regulatory Compliance Officer to be appointed within the Project Management Unit (PMU).</w:t>
      </w:r>
    </w:p>
    <w:p>
      <w:r>
        <w:br w:type="page"/>
      </w:r>
    </w:p>
    <w:p>
      <w:pPr>
        <w:pStyle w:val="Heading1"/>
        <w:pBdr>
          <w:bottom w:val="single" w:color="1B3A6B" w:sz="6" w:space="1"/>
        </w:pBdr>
        <w:spacing w:after="200" w:before="360"/>
      </w:pPr>
      <w:r>
        <w:rPr>
          <w:rFonts w:ascii="Arial" w:cs="Arial" w:eastAsia="Arial" w:hAnsi="Arial"/>
          <w:b/>
          <w:bCs/>
          <w:color w:val="1B3A6B"/>
          <w:sz w:val="36"/>
          <w:szCs w:val="36"/>
        </w:rPr>
        <w:t xml:space="preserve">6. FINANCIAL VIABILITY &amp; FUNDING SOURCES</w:t>
      </w:r>
    </w:p>
    <w:p>
      <w:pPr>
        <w:pStyle w:val="Heading2"/>
        <w:spacing w:after="120" w:before="240"/>
      </w:pPr>
      <w:r>
        <w:rPr>
          <w:rFonts w:ascii="Arial" w:cs="Arial" w:eastAsia="Arial" w:hAnsi="Arial"/>
          <w:b/>
          <w:bCs/>
          <w:color w:val="0D7377"/>
          <w:sz w:val="28"/>
          <w:szCs w:val="28"/>
        </w:rPr>
        <w:t xml:space="preserve">6.1 Project Cost Estimation</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rPr>
          <w:tblHeader/>
        </w:trPr>
        <w:tc>
          <w:tcPr>
            <w:tcW w:type="dxa" w:w="45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Cost Component</w:t>
            </w:r>
          </w:p>
        </w:tc>
        <w:tc>
          <w:tcPr>
            <w:tcW w:type="dxa" w:w="2263"/>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Estimated Cost (₹ Crore)</w:t>
            </w:r>
          </w:p>
        </w:tc>
        <w:tc>
          <w:tcPr>
            <w:tcW w:type="dxa" w:w="2263"/>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of Total Budget</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Wave Energy Converter Devices (procurement + fabrication)</w:t>
            </w:r>
          </w:p>
        </w:tc>
        <w:tc>
          <w:tcPr>
            <w:tcW w:type="dxa" w:w="2263"/>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8.0 – 15.0</w:t>
            </w:r>
          </w:p>
        </w:tc>
        <w:tc>
          <w:tcPr>
            <w:tcW w:type="dxa" w:w="2263"/>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30–35%</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Subsea Mooring, Anchoring &amp; Cabling</w:t>
            </w:r>
          </w:p>
        </w:tc>
        <w:tc>
          <w:tcPr>
            <w:tcW w:type="dxa" w:w="22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 – 8.0</w:t>
            </w:r>
          </w:p>
        </w:tc>
        <w:tc>
          <w:tcPr>
            <w:tcW w:type="dxa" w:w="22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16–18%</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Onshore Power Substation &amp; Grid Interface</w:t>
            </w:r>
          </w:p>
        </w:tc>
        <w:tc>
          <w:tcPr>
            <w:tcW w:type="dxa" w:w="2263"/>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2.5 – 5.0</w:t>
            </w:r>
          </w:p>
        </w:tc>
        <w:tc>
          <w:tcPr>
            <w:tcW w:type="dxa" w:w="2263"/>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10–12%</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Civil Works (cable trench, access road, control building)</w:t>
            </w:r>
          </w:p>
        </w:tc>
        <w:tc>
          <w:tcPr>
            <w:tcW w:type="dxa" w:w="22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 – 3.0</w:t>
            </w:r>
          </w:p>
        </w:tc>
        <w:tc>
          <w:tcPr>
            <w:tcW w:type="dxa" w:w="22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6–8%</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Environmental &amp; Social Impact Studies</w:t>
            </w:r>
          </w:p>
        </w:tc>
        <w:tc>
          <w:tcPr>
            <w:tcW w:type="dxa" w:w="2263"/>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0.5 – 1.0</w:t>
            </w:r>
          </w:p>
        </w:tc>
        <w:tc>
          <w:tcPr>
            <w:tcW w:type="dxa" w:w="2263"/>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2–3%</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Project Management, PMC, &amp; Regulatory Compliance</w:t>
            </w:r>
          </w:p>
        </w:tc>
        <w:tc>
          <w:tcPr>
            <w:tcW w:type="dxa" w:w="22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 – 2.0</w:t>
            </w:r>
          </w:p>
        </w:tc>
        <w:tc>
          <w:tcPr>
            <w:tcW w:type="dxa" w:w="22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4–5%</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O&amp;M Reserve (Year 1–3)</w:t>
            </w:r>
          </w:p>
        </w:tc>
        <w:tc>
          <w:tcPr>
            <w:tcW w:type="dxa" w:w="2263"/>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1.5 – 3.0</w:t>
            </w:r>
          </w:p>
        </w:tc>
        <w:tc>
          <w:tcPr>
            <w:tcW w:type="dxa" w:w="2263"/>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6–8%</w:t>
            </w:r>
          </w:p>
        </w:tc>
      </w:tr>
      <w:tr>
        <w:tc>
          <w:tcPr>
            <w:tcW w:type="dxa" w:w="4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Contingency (15%)</w:t>
            </w:r>
          </w:p>
        </w:tc>
        <w:tc>
          <w:tcPr>
            <w:tcW w:type="dxa" w:w="22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 – 5.0</w:t>
            </w:r>
          </w:p>
        </w:tc>
        <w:tc>
          <w:tcPr>
            <w:tcW w:type="dxa" w:w="2263"/>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8–10%</w:t>
            </w:r>
          </w:p>
        </w:tc>
      </w:tr>
      <w:tr>
        <w:tc>
          <w:tcPr>
            <w:tcW w:type="dxa" w:w="45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tcPr>
          <w:p>
            <w:r>
              <w:rPr>
                <w:rFonts w:ascii="Arial" w:cs="Arial" w:eastAsia="Arial" w:hAnsi="Arial"/>
                <w:b/>
                <w:bCs/>
                <w:color w:val="FFFFFF"/>
                <w:sz w:val="22"/>
                <w:szCs w:val="22"/>
              </w:rPr>
              <w:t xml:space="preserve">TOTAL PROJECT COST</w:t>
            </w:r>
          </w:p>
        </w:tc>
        <w:tc>
          <w:tcPr>
            <w:tcW w:type="dxa" w:w="2263"/>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₹21 – 42 Crore</w:t>
            </w:r>
          </w:p>
        </w:tc>
        <w:tc>
          <w:tcPr>
            <w:tcW w:type="dxa" w:w="2263"/>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100%</w:t>
            </w:r>
          </w:p>
        </w:tc>
      </w:tr>
    </w:tbl>
    <w:p>
      <w:pPr>
        <w:spacing w:after="120"/>
      </w:pPr>
      <w:r>
        <w:t xml:space="preserve"/>
      </w:r>
    </w:p>
    <w:p>
      <w:pPr>
        <w:pStyle w:val="Heading2"/>
        <w:spacing w:after="120" w:before="240"/>
      </w:pPr>
      <w:r>
        <w:rPr>
          <w:rFonts w:ascii="Arial" w:cs="Arial" w:eastAsia="Arial" w:hAnsi="Arial"/>
          <w:b/>
          <w:bCs/>
          <w:color w:val="0D7377"/>
          <w:sz w:val="28"/>
          <w:szCs w:val="28"/>
        </w:rPr>
        <w:t xml:space="preserve">6.2 Levelized Cost of Energy (LCOE) Analysis</w:t>
      </w:r>
    </w:p>
    <w:p>
      <w:pPr>
        <w:spacing w:after="120" w:line="276"/>
        <w:jc w:val="both"/>
      </w:pPr>
      <w:r>
        <w:rPr>
          <w:rFonts w:ascii="Arial" w:cs="Arial" w:eastAsia="Arial" w:hAnsi="Arial"/>
          <w:color w:val="1A1A1A"/>
          <w:sz w:val="22"/>
          <w:szCs w:val="22"/>
        </w:rPr>
        <w:t xml:space="preserve">Assuming a capacity factor of 25–30% for the Bay of Bengal wave regime, a design life of 20 years, and a discount rate of 10%, the estimated LCOE for the pilot phase is approximately ₹8.20–12.50 per kWh. This is currently higher than utility-scale solar (₹2.50–3.50/kWh) and wind (₹3.00–4.50/kWh) but comparable to early-stage offshore wind in India. International benchmarks suggest LCOE reduction of 40–60% with technology learning and scaling. The long-term target for Indian wave energy is below ₹6.00/kWh by 2032.</w:t>
      </w:r>
    </w:p>
    <w:p>
      <w:pPr>
        <w:pStyle w:val="Heading2"/>
        <w:spacing w:after="120" w:before="240"/>
      </w:pPr>
      <w:r>
        <w:rPr>
          <w:rFonts w:ascii="Arial" w:cs="Arial" w:eastAsia="Arial" w:hAnsi="Arial"/>
          <w:b/>
          <w:bCs/>
          <w:color w:val="0D7377"/>
          <w:sz w:val="28"/>
          <w:szCs w:val="28"/>
        </w:rPr>
        <w:t xml:space="preserve">6.3 Funding Pathways</w:t>
      </w:r>
    </w:p>
    <w:p>
      <w:pPr>
        <w:pStyle w:val="ListParagraph"/>
        <w:numPr>
          <w:ilvl w:val="0"/>
          <w:numId w:val="3"/>
        </w:numPr>
        <w:spacing w:after="80"/>
      </w:pPr>
      <w:r>
        <w:rPr>
          <w:rFonts w:ascii="Arial" w:cs="Arial" w:eastAsia="Arial" w:hAnsi="Arial"/>
          <w:sz w:val="22"/>
          <w:szCs w:val="22"/>
        </w:rPr>
        <w:t xml:space="preserve">MNRE Grant-in-Aid: Under the Ocean Energy Development Programme; recommended grant coverage of 40–60% of capital cost for pilot demonstrations.</w:t>
      </w:r>
    </w:p>
    <w:p>
      <w:pPr>
        <w:pStyle w:val="ListParagraph"/>
        <w:numPr>
          <w:ilvl w:val="0"/>
          <w:numId w:val="3"/>
        </w:numPr>
        <w:spacing w:after="80"/>
      </w:pPr>
      <w:r>
        <w:rPr>
          <w:rFonts w:ascii="Arial" w:cs="Arial" w:eastAsia="Arial" w:hAnsi="Arial"/>
          <w:sz w:val="22"/>
          <w:szCs w:val="22"/>
        </w:rPr>
        <w:t xml:space="preserve">Green Climate Fund (GCF) / UNDP: India’s National Designated Authority (NDA) through NABARD for climate-resilient ocean energy.</w:t>
      </w:r>
    </w:p>
    <w:p>
      <w:pPr>
        <w:pStyle w:val="ListParagraph"/>
        <w:numPr>
          <w:ilvl w:val="0"/>
          <w:numId w:val="3"/>
        </w:numPr>
        <w:spacing w:after="80"/>
      </w:pPr>
      <w:r>
        <w:rPr>
          <w:rFonts w:ascii="Arial" w:cs="Arial" w:eastAsia="Arial" w:hAnsi="Arial"/>
          <w:sz w:val="22"/>
          <w:szCs w:val="22"/>
        </w:rPr>
        <w:t xml:space="preserve">National Bank for Financing Infrastructure and Development (NaBFID): Infrastructure project financing at concessional rates.</w:t>
      </w:r>
    </w:p>
    <w:p>
      <w:pPr>
        <w:pStyle w:val="ListParagraph"/>
        <w:numPr>
          <w:ilvl w:val="0"/>
          <w:numId w:val="3"/>
        </w:numPr>
        <w:spacing w:after="80"/>
      </w:pPr>
      <w:r>
        <w:rPr>
          <w:rFonts w:ascii="Arial" w:cs="Arial" w:eastAsia="Arial" w:hAnsi="Arial"/>
          <w:sz w:val="22"/>
          <w:szCs w:val="22"/>
        </w:rPr>
        <w:t xml:space="preserve">IREDA / Power Finance Corporation (PFC): Renewable energy-specific debt financing.</w:t>
      </w:r>
    </w:p>
    <w:p>
      <w:pPr>
        <w:pStyle w:val="ListParagraph"/>
        <w:numPr>
          <w:ilvl w:val="0"/>
          <w:numId w:val="3"/>
        </w:numPr>
        <w:spacing w:after="80"/>
      </w:pPr>
      <w:r>
        <w:rPr>
          <w:rFonts w:ascii="Arial" w:cs="Arial" w:eastAsia="Arial" w:hAnsi="Arial"/>
          <w:sz w:val="22"/>
          <w:szCs w:val="22"/>
        </w:rPr>
        <w:t xml:space="preserve">World Bank/ADB Blue Economy Grants: Applicable for coastal and ocean-based renewable energy in emerging markets.</w:t>
      </w:r>
    </w:p>
    <w:p>
      <w:pPr>
        <w:pStyle w:val="ListParagraph"/>
        <w:numPr>
          <w:ilvl w:val="0"/>
          <w:numId w:val="3"/>
        </w:numPr>
        <w:spacing w:after="80"/>
      </w:pPr>
      <w:r>
        <w:rPr>
          <w:rFonts w:ascii="Arial" w:cs="Arial" w:eastAsia="Arial" w:hAnsi="Arial"/>
          <w:sz w:val="22"/>
          <w:szCs w:val="22"/>
        </w:rPr>
        <w:t xml:space="preserve">State Government Co-funding: Odisha Renewable Energy Development Agency (OREDA) partnership; 15–20% state share recommended.</w:t>
      </w:r>
    </w:p>
    <w:p>
      <w:pPr>
        <w:pStyle w:val="ListParagraph"/>
        <w:numPr>
          <w:ilvl w:val="0"/>
          <w:numId w:val="3"/>
        </w:numPr>
        <w:spacing w:after="80"/>
      </w:pPr>
      <w:r>
        <w:rPr>
          <w:rFonts w:ascii="Arial" w:cs="Arial" w:eastAsia="Arial" w:hAnsi="Arial"/>
          <w:sz w:val="22"/>
          <w:szCs w:val="22"/>
        </w:rPr>
        <w:t xml:space="preserve">CSR Funding: Proximity to NALCO, SAIL, JSPL operations in Odisha offers substantial CSR co-investment opportunity.</w:t>
      </w:r>
    </w:p>
    <w:p>
      <w:r>
        <w:br w:type="page"/>
      </w:r>
    </w:p>
    <w:p>
      <w:pPr>
        <w:pStyle w:val="Heading1"/>
        <w:pBdr>
          <w:bottom w:val="single" w:color="1B3A6B" w:sz="6" w:space="1"/>
        </w:pBdr>
        <w:spacing w:after="200" w:before="360"/>
      </w:pPr>
      <w:r>
        <w:rPr>
          <w:rFonts w:ascii="Arial" w:cs="Arial" w:eastAsia="Arial" w:hAnsi="Arial"/>
          <w:b/>
          <w:bCs/>
          <w:color w:val="1B3A6B"/>
          <w:sz w:val="36"/>
          <w:szCs w:val="36"/>
        </w:rPr>
        <w:t xml:space="preserve">7. STAKEHOLDER &amp; COMMUNITY ENGAGEMENT PLAN</w:t>
      </w:r>
    </w:p>
    <w:p>
      <w:pPr>
        <w:pStyle w:val="Heading2"/>
        <w:spacing w:after="120" w:before="240"/>
      </w:pPr>
      <w:r>
        <w:rPr>
          <w:rFonts w:ascii="Arial" w:cs="Arial" w:eastAsia="Arial" w:hAnsi="Arial"/>
          <w:b/>
          <w:bCs/>
          <w:color w:val="0D7377"/>
          <w:sz w:val="28"/>
          <w:szCs w:val="28"/>
        </w:rPr>
        <w:t xml:space="preserve">7.1 Stakeholder Mapping</w:t>
      </w:r>
    </w:p>
    <w:p>
      <w:pPr>
        <w:spacing w:after="120" w:line="276"/>
        <w:jc w:val="both"/>
      </w:pPr>
      <w:r>
        <w:rPr>
          <w:rFonts w:ascii="Arial" w:cs="Arial" w:eastAsia="Arial" w:hAnsi="Arial"/>
          <w:color w:val="1A1A1A"/>
          <w:sz w:val="22"/>
          <w:szCs w:val="22"/>
        </w:rPr>
        <w:t xml:space="preserve">Effective stakeholder engagement is critical to the long-term social license to operate (SLO) for any coastal energy infrastructure in Odisha. The following stakeholder groups have been identified:</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Stakeholder Group</w:t>
            </w:r>
          </w:p>
        </w:tc>
        <w:tc>
          <w:tcPr>
            <w:tcW w:type="dxa" w:w="30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Concerns</w:t>
            </w:r>
          </w:p>
        </w:tc>
        <w:tc>
          <w:tcPr>
            <w:tcW w:type="dxa" w:w="322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Engagement Strategy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Traditional Fishermen Communities</w:t>
            </w:r>
          </w:p>
        </w:tc>
        <w:tc>
          <w:tcPr>
            <w:tcW w:type="dxa" w:w="3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Fishing ground access, safety hazards, livelihood impact</w:t>
            </w:r>
          </w:p>
        </w:tc>
        <w:tc>
          <w:tcPr>
            <w:tcW w:type="dxa" w:w="32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Village-level consultations; co-management agreements; skill training for O&amp;M roles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Odisha Fishermen Welfare Society (OFWS)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Collective bargaining; zone demarcation</w:t>
            </w:r>
          </w:p>
        </w:tc>
        <w:tc>
          <w:tcPr>
            <w:tcW w:type="dxa" w:w="3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MoU with OFWS; joint monitoring committee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Gram Panchayats &amp; District Administration</w:t>
            </w:r>
          </w:p>
        </w:tc>
        <w:tc>
          <w:tcPr>
            <w:tcW w:type="dxa" w:w="3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Employment, land use, revenue sharing</w:t>
            </w:r>
          </w:p>
        </w:tc>
        <w:tc>
          <w:tcPr>
            <w:tcW w:type="dxa" w:w="32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District Collector engagements; employment preference for local youth</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ODISHA Tourism Department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Visual impact, tourist experience at Puri/Konark</w:t>
            </w:r>
          </w:p>
        </w:tc>
        <w:tc>
          <w:tcPr>
            <w:tcW w:type="dxa" w:w="3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Design review; education/eco-tourism integration plan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OREDA / GRIDCO</w:t>
            </w:r>
          </w:p>
        </w:tc>
        <w:tc>
          <w:tcPr>
            <w:tcW w:type="dxa" w:w="30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Grid integration, tariff, metering</w:t>
            </w:r>
          </w:p>
        </w:tc>
        <w:tc>
          <w:tcPr>
            <w:tcW w:type="dxa" w:w="32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Technical coordination; Power Purchase Agreement (PPA) drafting</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Academic Institutions (IIT Bhubaneswar, NIOT)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R&amp;D collaboration, data sharing</w:t>
            </w:r>
          </w:p>
        </w:tc>
        <w:tc>
          <w:tcPr>
            <w:tcW w:type="dxa" w:w="32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Formal MoU for monitoring, data access, and joint publications</w:t>
            </w:r>
          </w:p>
        </w:tc>
      </w:tr>
    </w:tbl>
    <w:p>
      <w:pPr>
        <w:spacing w:after="120"/>
      </w:pPr>
      <w:r>
        <w:t xml:space="preserve"/>
      </w:r>
    </w:p>
    <w:p>
      <w:pPr>
        <w:pStyle w:val="Heading2"/>
        <w:spacing w:after="120" w:before="240"/>
      </w:pPr>
      <w:r>
        <w:rPr>
          <w:rFonts w:ascii="Arial" w:cs="Arial" w:eastAsia="Arial" w:hAnsi="Arial"/>
          <w:b/>
          <w:bCs/>
          <w:color w:val="0D7377"/>
          <w:sz w:val="28"/>
          <w:szCs w:val="28"/>
        </w:rPr>
        <w:t xml:space="preserve">7.2 Community Benefit Sharing Framework</w:t>
      </w:r>
    </w:p>
    <w:p>
      <w:pPr>
        <w:pStyle w:val="ListParagraph"/>
        <w:numPr>
          <w:ilvl w:val="0"/>
          <w:numId w:val="3"/>
        </w:numPr>
        <w:spacing w:after="80"/>
      </w:pPr>
      <w:r>
        <w:rPr>
          <w:rFonts w:ascii="Arial" w:cs="Arial" w:eastAsia="Arial" w:hAnsi="Arial"/>
          <w:sz w:val="22"/>
          <w:szCs w:val="22"/>
        </w:rPr>
        <w:t xml:space="preserve">Local employment: Minimum 30% of construction and O&amp;M workforce to be sourced from host district villages.</w:t>
      </w:r>
    </w:p>
    <w:p>
      <w:pPr>
        <w:pStyle w:val="ListParagraph"/>
        <w:numPr>
          <w:ilvl w:val="0"/>
          <w:numId w:val="3"/>
        </w:numPr>
        <w:spacing w:after="80"/>
      </w:pPr>
      <w:r>
        <w:rPr>
          <w:rFonts w:ascii="Arial" w:cs="Arial" w:eastAsia="Arial" w:hAnsi="Arial"/>
          <w:sz w:val="22"/>
          <w:szCs w:val="22"/>
        </w:rPr>
        <w:t xml:space="preserve">Fishers’ compensation fund: ₹50 per kWh of electricity generated to be contributed to a District-level Fishers’ Welfare Fund.</w:t>
      </w:r>
    </w:p>
    <w:p>
      <w:pPr>
        <w:pStyle w:val="ListParagraph"/>
        <w:numPr>
          <w:ilvl w:val="0"/>
          <w:numId w:val="3"/>
        </w:numPr>
        <w:spacing w:after="80"/>
      </w:pPr>
      <w:r>
        <w:rPr>
          <w:rFonts w:ascii="Arial" w:cs="Arial" w:eastAsia="Arial" w:hAnsi="Arial"/>
          <w:sz w:val="22"/>
          <w:szCs w:val="22"/>
        </w:rPr>
        <w:t xml:space="preserve">Skill development: ITI-linked ocean energy technician training programmes at Puri and Berhampur to be sponsored under MNRE’s Surya Mitra-equivalent scheme.</w:t>
      </w:r>
    </w:p>
    <w:p>
      <w:pPr>
        <w:pStyle w:val="ListParagraph"/>
        <w:numPr>
          <w:ilvl w:val="0"/>
          <w:numId w:val="3"/>
        </w:numPr>
        <w:spacing w:after="80"/>
      </w:pPr>
      <w:r>
        <w:rPr>
          <w:rFonts w:ascii="Arial" w:cs="Arial" w:eastAsia="Arial" w:hAnsi="Arial"/>
          <w:sz w:val="22"/>
          <w:szCs w:val="22"/>
        </w:rPr>
        <w:t xml:space="preserve">Women’s SHG involvement: Engagement of Odisha Livelihood Mission SHGs in eco-tourism boat tours of the WEC sites.</w:t>
      </w:r>
    </w:p>
    <w:p>
      <w:r>
        <w:br w:type="page"/>
      </w:r>
    </w:p>
    <w:p>
      <w:pPr>
        <w:pStyle w:val="Heading1"/>
        <w:pBdr>
          <w:bottom w:val="single" w:color="1B3A6B" w:sz="6" w:space="1"/>
        </w:pBdr>
        <w:spacing w:after="200" w:before="360"/>
      </w:pPr>
      <w:r>
        <w:rPr>
          <w:rFonts w:ascii="Arial" w:cs="Arial" w:eastAsia="Arial" w:hAnsi="Arial"/>
          <w:b/>
          <w:bCs/>
          <w:color w:val="1B3A6B"/>
          <w:sz w:val="36"/>
          <w:szCs w:val="36"/>
        </w:rPr>
        <w:t xml:space="preserve">8. COMPARISON WITH OTHER INDIAN COASTAL STATES</w:t>
      </w:r>
    </w:p>
    <w:p>
      <w:pPr>
        <w:pStyle w:val="Heading2"/>
        <w:spacing w:after="120" w:before="240"/>
      </w:pPr>
      <w:r>
        <w:rPr>
          <w:rFonts w:ascii="Arial" w:cs="Arial" w:eastAsia="Arial" w:hAnsi="Arial"/>
          <w:b/>
          <w:bCs/>
          <w:color w:val="0D7377"/>
          <w:sz w:val="28"/>
          <w:szCs w:val="28"/>
        </w:rPr>
        <w:t xml:space="preserve">8.1 State-wise Wave Energy Readiness Index</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6"/>
        <w:gridCol w:w="1506"/>
        <w:gridCol w:w="1506"/>
        <w:gridCol w:w="1506"/>
        <w:gridCol w:w="1202"/>
      </w:tblGrid>
      <w:tr>
        <w:trPr>
          <w:tblHeader/>
        </w:trPr>
        <w:tc>
          <w:tcPr>
            <w:tcW w:type="dxa" w:w="18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State</w:t>
            </w:r>
          </w:p>
        </w:tc>
        <w:tc>
          <w:tcPr>
            <w:tcW w:type="dxa" w:w="150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Wave Energy Density (kW/m)</w:t>
            </w:r>
          </w:p>
        </w:tc>
        <w:tc>
          <w:tcPr>
            <w:tcW w:type="dxa" w:w="150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Coastline (km)</w:t>
            </w:r>
          </w:p>
        </w:tc>
        <w:tc>
          <w:tcPr>
            <w:tcW w:type="dxa" w:w="150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Existing Demo Projects</w:t>
            </w:r>
          </w:p>
        </w:tc>
        <w:tc>
          <w:tcPr>
            <w:tcW w:type="dxa" w:w="150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Grid Infrastructure</w:t>
            </w:r>
          </w:p>
        </w:tc>
        <w:tc>
          <w:tcPr>
            <w:tcW w:type="dxa" w:w="1202"/>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Overall Readiness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Kerala</w:t>
            </w:r>
          </w:p>
        </w:tc>
        <w:tc>
          <w:tcPr>
            <w:tcW w:type="dxa" w:w="15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15–25</w:t>
            </w:r>
          </w:p>
        </w:tc>
        <w:tc>
          <w:tcPr>
            <w:tcW w:type="dxa" w:w="15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590</w:t>
            </w:r>
          </w:p>
        </w:tc>
        <w:tc>
          <w:tcPr>
            <w:tcW w:type="dxa" w:w="15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OWC at Vizhinjam (1991)</w:t>
            </w:r>
          </w:p>
        </w:tc>
        <w:tc>
          <w:tcPr>
            <w:tcW w:type="dxa" w:w="15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Good</w:t>
            </w:r>
          </w:p>
        </w:tc>
        <w:tc>
          <w:tcPr>
            <w:tcW w:type="dxa" w:w="1202"/>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High</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Tamil Nadu</w:t>
            </w:r>
          </w:p>
        </w:tc>
        <w:tc>
          <w:tcPr>
            <w:tcW w:type="dxa" w:w="1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10–18</w:t>
            </w:r>
          </w:p>
        </w:tc>
        <w:tc>
          <w:tcPr>
            <w:tcW w:type="dxa" w:w="1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1,076</w:t>
            </w:r>
          </w:p>
        </w:tc>
        <w:tc>
          <w:tcPr>
            <w:tcW w:type="dxa" w:w="1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NIOT R&amp;D Buoys</w:t>
            </w:r>
          </w:p>
        </w:tc>
        <w:tc>
          <w:tcPr>
            <w:tcW w:type="dxa" w:w="1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Excellent</w:t>
            </w:r>
          </w:p>
        </w:tc>
        <w:tc>
          <w:tcPr>
            <w:tcW w:type="dxa" w:w="120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Odisha</w:t>
            </w:r>
          </w:p>
        </w:tc>
        <w:tc>
          <w:tcPr>
            <w:tcW w:type="dxa" w:w="15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8–22</w:t>
            </w:r>
          </w:p>
        </w:tc>
        <w:tc>
          <w:tcPr>
            <w:tcW w:type="dxa" w:w="15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480</w:t>
            </w:r>
          </w:p>
        </w:tc>
        <w:tc>
          <w:tcPr>
            <w:tcW w:type="dxa" w:w="15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None (Proposed)</w:t>
            </w:r>
          </w:p>
        </w:tc>
        <w:tc>
          <w:tcPr>
            <w:tcW w:type="dxa" w:w="15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Good (GRIDCO)</w:t>
            </w:r>
          </w:p>
        </w:tc>
        <w:tc>
          <w:tcPr>
            <w:tcW w:type="dxa" w:w="1202"/>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Medium-High</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Maharashtra</w:t>
            </w:r>
          </w:p>
        </w:tc>
        <w:tc>
          <w:tcPr>
            <w:tcW w:type="dxa" w:w="1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6–12</w:t>
            </w:r>
          </w:p>
        </w:tc>
        <w:tc>
          <w:tcPr>
            <w:tcW w:type="dxa" w:w="1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720</w:t>
            </w:r>
          </w:p>
        </w:tc>
        <w:tc>
          <w:tcPr>
            <w:tcW w:type="dxa" w:w="1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Excellent</w:t>
            </w:r>
          </w:p>
        </w:tc>
        <w:tc>
          <w:tcPr>
            <w:tcW w:type="dxa" w:w="120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Andhra Pradesh</w:t>
            </w:r>
          </w:p>
        </w:tc>
        <w:tc>
          <w:tcPr>
            <w:tcW w:type="dxa" w:w="15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8–16</w:t>
            </w:r>
          </w:p>
        </w:tc>
        <w:tc>
          <w:tcPr>
            <w:tcW w:type="dxa" w:w="15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974</w:t>
            </w:r>
          </w:p>
        </w:tc>
        <w:tc>
          <w:tcPr>
            <w:tcW w:type="dxa" w:w="15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5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Good</w:t>
            </w:r>
          </w:p>
        </w:tc>
        <w:tc>
          <w:tcPr>
            <w:tcW w:type="dxa" w:w="1202"/>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Medium</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Gujarat</w:t>
            </w:r>
          </w:p>
        </w:tc>
        <w:tc>
          <w:tcPr>
            <w:tcW w:type="dxa" w:w="1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4–9</w:t>
            </w:r>
          </w:p>
        </w:tc>
        <w:tc>
          <w:tcPr>
            <w:tcW w:type="dxa" w:w="1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1,600</w:t>
            </w:r>
          </w:p>
        </w:tc>
        <w:tc>
          <w:tcPr>
            <w:tcW w:type="dxa" w:w="1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None (Tidal focus)</w:t>
            </w:r>
          </w:p>
        </w:tc>
        <w:tc>
          <w:tcPr>
            <w:tcW w:type="dxa" w:w="15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Excellent</w:t>
            </w:r>
          </w:p>
        </w:tc>
        <w:tc>
          <w:tcPr>
            <w:tcW w:type="dxa" w:w="1202"/>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Low-Med</w:t>
            </w:r>
          </w:p>
        </w:tc>
      </w:tr>
    </w:tbl>
    <w:p>
      <w:pPr>
        <w:spacing w:after="120"/>
      </w:pPr>
      <w:r>
        <w:t xml:space="preserve"/>
      </w:r>
    </w:p>
    <w:p>
      <w:pPr>
        <w:spacing w:after="120" w:line="276"/>
        <w:jc w:val="both"/>
      </w:pPr>
      <w:r>
        <w:rPr>
          <w:rFonts w:ascii="Arial" w:cs="Arial" w:eastAsia="Arial" w:hAnsi="Arial"/>
          <w:color w:val="1A1A1A"/>
          <w:sz w:val="22"/>
          <w:szCs w:val="22"/>
        </w:rPr>
        <w:t xml:space="preserve">Analysis: Odisha occupies a strategic second-mover advantage. While Kerala has demonstrated OWC at small scale (Vizhinjam), it has not pursued commercial-scale WEC. Tamil Nadu leads in marine research infrastructure via NIOT but lacks CRZ-cleared WEC sites. Odisha’s combination of high wave energy density (particularly at Gopalpur), clear regulatory pathways under OSCZMA, GRIDCO grid connectivity, and strong State Renewable Energy policy (Odisha RE Policy 2022) positions it as the most viable candidate for India’s first grid-connected wave energy demonstration plant.</w:t>
      </w:r>
    </w:p>
    <w:p>
      <w:r>
        <w:br w:type="page"/>
      </w:r>
    </w:p>
    <w:p>
      <w:pPr>
        <w:pStyle w:val="Heading1"/>
        <w:pBdr>
          <w:bottom w:val="single" w:color="1B3A6B" w:sz="6" w:space="1"/>
        </w:pBdr>
        <w:spacing w:after="200" w:before="360"/>
      </w:pPr>
      <w:r>
        <w:rPr>
          <w:rFonts w:ascii="Arial" w:cs="Arial" w:eastAsia="Arial" w:hAnsi="Arial"/>
          <w:b/>
          <w:bCs/>
          <w:color w:val="1B3A6B"/>
          <w:sz w:val="36"/>
          <w:szCs w:val="36"/>
        </w:rPr>
        <w:t xml:space="preserve">9. SDG &amp; CLIMATE ALIGNMENT</w:t>
      </w:r>
    </w:p>
    <w:p>
      <w:pPr>
        <w:pStyle w:val="Heading2"/>
        <w:spacing w:after="120" w:before="240"/>
      </w:pPr>
      <w:r>
        <w:rPr>
          <w:rFonts w:ascii="Arial" w:cs="Arial" w:eastAsia="Arial" w:hAnsi="Arial"/>
          <w:b/>
          <w:bCs/>
          <w:color w:val="0D7377"/>
          <w:sz w:val="28"/>
          <w:szCs w:val="28"/>
        </w:rPr>
        <w:t xml:space="preserve">9.1 Sustainable Development Goals (SDG) Linkages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6"/>
        <w:gridCol w:w="2420"/>
        <w:gridCol w:w="5200"/>
      </w:tblGrid>
      <w:tr>
        <w:trPr>
          <w:tblHeader/>
        </w:trPr>
        <w:tc>
          <w:tcPr>
            <w:tcW w:type="dxa" w:w="140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SDG</w:t>
            </w:r>
          </w:p>
        </w:tc>
        <w:tc>
          <w:tcPr>
            <w:tcW w:type="dxa" w:w="242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Goal</w:t>
            </w:r>
          </w:p>
        </w:tc>
        <w:tc>
          <w:tcPr>
            <w:tcW w:type="dxa" w:w="52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Project Contribution</w:t>
            </w:r>
          </w:p>
        </w:tc>
      </w:tr>
      <w:tr>
        <w:tc>
          <w:tcPr>
            <w:tcW w:type="dxa" w:w="14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SDG 7</w:t>
            </w:r>
          </w:p>
        </w:tc>
        <w:tc>
          <w:tcPr>
            <w:tcW w:type="dxa" w:w="24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Affordable &amp; Clean Energy</w:t>
            </w:r>
          </w:p>
        </w:tc>
        <w:tc>
          <w:tcPr>
            <w:tcW w:type="dxa" w:w="5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Adds 1–2 MW renewable capacity; powers coastal villages without grid extension cost</w:t>
            </w:r>
          </w:p>
        </w:tc>
      </w:tr>
      <w:tr>
        <w:tc>
          <w:tcPr>
            <w:tcW w:type="dxa" w:w="14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SDG 8</w:t>
            </w:r>
          </w:p>
        </w:tc>
        <w:tc>
          <w:tcPr>
            <w:tcW w:type="dxa" w:w="24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Decent Work &amp; Economic Growth</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Creates 150–300 direct and indirect jobs in construction, O&amp;M, and eco-tourism</w:t>
            </w:r>
          </w:p>
        </w:tc>
      </w:tr>
      <w:tr>
        <w:tc>
          <w:tcPr>
            <w:tcW w:type="dxa" w:w="14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SDG 13</w:t>
            </w:r>
          </w:p>
        </w:tc>
        <w:tc>
          <w:tcPr>
            <w:tcW w:type="dxa" w:w="24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Climate Action</w:t>
            </w:r>
          </w:p>
        </w:tc>
        <w:tc>
          <w:tcPr>
            <w:tcW w:type="dxa" w:w="5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Displaces approx. 2,500–5,000 tonnes CO2/year vs. coal-based generation</w:t>
            </w:r>
          </w:p>
        </w:tc>
      </w:tr>
      <w:tr>
        <w:tc>
          <w:tcPr>
            <w:tcW w:type="dxa" w:w="140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SDG 14</w:t>
            </w:r>
          </w:p>
        </w:tc>
        <w:tc>
          <w:tcPr>
            <w:tcW w:type="dxa" w:w="24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Life Below Water</w:t>
            </w:r>
          </w:p>
        </w:tc>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CRZ compliance, turtle protection protocols, and marine biodiversity monitoring</w:t>
            </w:r>
          </w:p>
        </w:tc>
      </w:tr>
      <w:tr>
        <w:tc>
          <w:tcPr>
            <w:tcW w:type="dxa" w:w="140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SDG 17</w:t>
            </w:r>
          </w:p>
        </w:tc>
        <w:tc>
          <w:tcPr>
            <w:tcW w:type="dxa" w:w="242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Partnerships for the Goals</w:t>
            </w:r>
          </w:p>
        </w:tc>
        <w:tc>
          <w:tcPr>
            <w:tcW w:type="dxa" w:w="5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GCF, UNDP, ADB, MNRE, OREDA multi-stakeholder financing partnership</w:t>
            </w:r>
          </w:p>
        </w:tc>
      </w:tr>
    </w:tbl>
    <w:p>
      <w:pPr>
        <w:spacing w:after="120"/>
      </w:pPr>
      <w:r>
        <w:t xml:space="preserve"/>
      </w:r>
    </w:p>
    <w:p>
      <w:pPr>
        <w:pStyle w:val="Heading2"/>
        <w:spacing w:after="120" w:before="240"/>
      </w:pPr>
      <w:r>
        <w:rPr>
          <w:rFonts w:ascii="Arial" w:cs="Arial" w:eastAsia="Arial" w:hAnsi="Arial"/>
          <w:b/>
          <w:bCs/>
          <w:color w:val="0D7377"/>
          <w:sz w:val="28"/>
          <w:szCs w:val="28"/>
        </w:rPr>
        <w:t xml:space="preserve">9.2 Climate Policy Alignment</w:t>
      </w:r>
    </w:p>
    <w:p>
      <w:pPr>
        <w:pStyle w:val="ListParagraph"/>
        <w:numPr>
          <w:ilvl w:val="0"/>
          <w:numId w:val="3"/>
        </w:numPr>
        <w:spacing w:after="80"/>
      </w:pPr>
      <w:r>
        <w:rPr>
          <w:rFonts w:ascii="Arial" w:cs="Arial" w:eastAsia="Arial" w:hAnsi="Arial"/>
          <w:sz w:val="22"/>
          <w:szCs w:val="22"/>
        </w:rPr>
        <w:t xml:space="preserve">India’s Nationally Determined Contribution (NDC) under Paris Agreement commits to 50% of electricity capacity from non-fossil sources by 2030. Wave energy contributes to this target.</w:t>
      </w:r>
    </w:p>
    <w:p>
      <w:pPr>
        <w:pStyle w:val="ListParagraph"/>
        <w:numPr>
          <w:ilvl w:val="0"/>
          <w:numId w:val="3"/>
        </w:numPr>
        <w:spacing w:after="80"/>
      </w:pPr>
      <w:r>
        <w:rPr>
          <w:rFonts w:ascii="Arial" w:cs="Arial" w:eastAsia="Arial" w:hAnsi="Arial"/>
          <w:sz w:val="22"/>
          <w:szCs w:val="22"/>
        </w:rPr>
        <w:t xml:space="preserve">India’s Long-Term Low-Carbon Development Strategy (LT-LEDS) submitted to UNFCCC identifies ocean energy as a strategic emerging technology for the 2040–2070 decarbonisation pathway.</w:t>
      </w:r>
    </w:p>
    <w:p>
      <w:pPr>
        <w:pStyle w:val="ListParagraph"/>
        <w:numPr>
          <w:ilvl w:val="0"/>
          <w:numId w:val="3"/>
        </w:numPr>
        <w:spacing w:after="80"/>
      </w:pPr>
      <w:r>
        <w:rPr>
          <w:rFonts w:ascii="Arial" w:cs="Arial" w:eastAsia="Arial" w:hAnsi="Arial"/>
          <w:sz w:val="22"/>
          <w:szCs w:val="22"/>
        </w:rPr>
        <w:t xml:space="preserve">MNRE’s National Energy Policy recognises tidal and wave energy as part of the 175 GW and 500 GW renewable energy targets for 2022 and 2030 respectively.</w:t>
      </w:r>
    </w:p>
    <w:p>
      <w:pPr>
        <w:pStyle w:val="ListParagraph"/>
        <w:numPr>
          <w:ilvl w:val="0"/>
          <w:numId w:val="3"/>
        </w:numPr>
        <w:spacing w:after="80"/>
      </w:pPr>
      <w:r>
        <w:rPr>
          <w:rFonts w:ascii="Arial" w:cs="Arial" w:eastAsia="Arial" w:hAnsi="Arial"/>
          <w:sz w:val="22"/>
          <w:szCs w:val="22"/>
        </w:rPr>
        <w:t xml:space="preserve">The Odisha Disaster Risk Reduction policy framework (post-Super Cyclone 1999 reforms) makes climate-resilient coastal infrastructure a state priority, within which wave energy serves a dual purpose as a clean energy and coastal protection mechanism.</w:t>
      </w:r>
    </w:p>
    <w:p>
      <w:r>
        <w:br w:type="page"/>
      </w:r>
    </w:p>
    <w:p>
      <w:pPr>
        <w:pStyle w:val="Heading1"/>
        <w:pBdr>
          <w:bottom w:val="single" w:color="1B3A6B" w:sz="6" w:space="1"/>
        </w:pBdr>
        <w:spacing w:after="200" w:before="360"/>
      </w:pPr>
      <w:r>
        <w:rPr>
          <w:rFonts w:ascii="Arial" w:cs="Arial" w:eastAsia="Arial" w:hAnsi="Arial"/>
          <w:b/>
          <w:bCs/>
          <w:color w:val="1B3A6B"/>
          <w:sz w:val="36"/>
          <w:szCs w:val="36"/>
        </w:rPr>
        <w:t xml:space="preserve">10. IMPLEMENTATION ROADMAP (3–5 YEARS)</w:t>
      </w:r>
    </w:p>
    <w:p>
      <w:pPr>
        <w:pStyle w:val="Heading2"/>
        <w:spacing w:after="120" w:before="240"/>
      </w:pPr>
      <w:r>
        <w:rPr>
          <w:rFonts w:ascii="Arial" w:cs="Arial" w:eastAsia="Arial" w:hAnsi="Arial"/>
          <w:b/>
          <w:bCs/>
          <w:color w:val="0D7377"/>
          <w:sz w:val="28"/>
          <w:szCs w:val="28"/>
        </w:rPr>
        <w:t xml:space="preserve">10.1 Phased Project Timeline</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800"/>
        <w:gridCol w:w="2226"/>
      </w:tblGrid>
      <w:tr>
        <w:trPr>
          <w:tblHeader/>
        </w:trPr>
        <w:tc>
          <w:tcPr>
            <w:tcW w:type="dxa" w:w="12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18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Period</w:t>
            </w:r>
          </w:p>
        </w:tc>
        <w:tc>
          <w:tcPr>
            <w:tcW w:type="dxa" w:w="38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Activities</w:t>
            </w:r>
          </w:p>
        </w:tc>
        <w:tc>
          <w:tcPr>
            <w:tcW w:type="dxa" w:w="222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Deliverables</w:t>
            </w:r>
          </w:p>
        </w:tc>
      </w:tr>
      <w:tr>
        <w:tc>
          <w:tcPr>
            <w:tcW w:type="dxa" w:w="1200"/>
            <w:tcBorders>
              <w:top w:val="single" w:color="BDC3C7" w:sz="1"/>
              <w:left w:val="single" w:color="BDC3C7" w:sz="1"/>
              <w:bottom w:val="single" w:color="BDC3C7" w:sz="1"/>
              <w:right w:val="single" w:color="BDC3C7"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0</w:t>
            </w:r>
          </w:p>
        </w:tc>
        <w:tc>
          <w:tcPr>
            <w:tcW w:type="dxa" w:w="1800"/>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left"/>
            </w:pPr>
            <w:r>
              <w:rPr>
                <w:rFonts w:ascii="Arial" w:cs="Arial" w:eastAsia="Arial" w:hAnsi="Arial"/>
                <w:sz w:val="20"/>
                <w:szCs w:val="20"/>
              </w:rPr>
              <w:t xml:space="preserve">Months 1–6
(Year 1)</w:t>
            </w:r>
          </w:p>
        </w:tc>
        <w:tc>
          <w:tcPr>
            <w:tcW w:type="dxa" w:w="3800"/>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left"/>
            </w:pPr>
            <w:r>
              <w:rPr>
                <w:rFonts w:ascii="Arial" w:cs="Arial" w:eastAsia="Arial" w:hAnsi="Arial"/>
                <w:sz w:val="20"/>
                <w:szCs w:val="20"/>
              </w:rPr>
              <w:t xml:space="preserve">DPR preparation; stakeholder baseline surveys; site investigation (bathymetry, seabed cores); regulatory filing initiation; PMU establishment</w:t>
            </w:r>
          </w:p>
        </w:tc>
        <w:tc>
          <w:tcPr>
            <w:tcW w:type="dxa" w:w="2226"/>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left"/>
            </w:pPr>
            <w:r>
              <w:rPr>
                <w:rFonts w:ascii="Arial" w:cs="Arial" w:eastAsia="Arial" w:hAnsi="Arial"/>
                <w:sz w:val="20"/>
                <w:szCs w:val="20"/>
              </w:rPr>
              <w:t xml:space="preserve">DPR; Stakeholder Baseline Report; Regulatory Application Package</w:t>
            </w:r>
          </w:p>
        </w:tc>
      </w:tr>
      <w:tr>
        <w:tc>
          <w:tcPr>
            <w:tcW w:type="dxa" w:w="12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1</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Months 7–18
(Year 1–2)</w:t>
            </w:r>
          </w:p>
        </w:tc>
        <w:tc>
          <w:tcPr>
            <w:tcW w:type="dxa" w:w="3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Environmental clearances; CRZ approvals; device procurement (Gopalpur &amp; Chandrabhaga); contractor selection; grid interconnect design</w:t>
            </w:r>
          </w:p>
        </w:tc>
        <w:tc>
          <w:tcPr>
            <w:tcW w:type="dxa" w:w="22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All clearances obtained; WEC procurement contracts signed; Grid Interconnect Agreement</w:t>
            </w:r>
          </w:p>
        </w:tc>
      </w:tr>
      <w:tr>
        <w:tc>
          <w:tcPr>
            <w:tcW w:type="dxa" w:w="1200"/>
            <w:tcBorders>
              <w:top w:val="single" w:color="BDC3C7" w:sz="1"/>
              <w:left w:val="single" w:color="BDC3C7" w:sz="1"/>
              <w:bottom w:val="single" w:color="BDC3C7" w:sz="1"/>
              <w:right w:val="single" w:color="BDC3C7"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2</w:t>
            </w:r>
          </w:p>
        </w:tc>
        <w:tc>
          <w:tcPr>
            <w:tcW w:type="dxa" w:w="1800"/>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left"/>
            </w:pPr>
            <w:r>
              <w:rPr>
                <w:rFonts w:ascii="Arial" w:cs="Arial" w:eastAsia="Arial" w:hAnsi="Arial"/>
                <w:sz w:val="20"/>
                <w:szCs w:val="20"/>
              </w:rPr>
              <w:t xml:space="preserve">Months 19–36
(Year 2–3)</w:t>
            </w:r>
          </w:p>
        </w:tc>
        <w:tc>
          <w:tcPr>
            <w:tcW w:type="dxa" w:w="3800"/>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left"/>
            </w:pPr>
            <w:r>
              <w:rPr>
                <w:rFonts w:ascii="Arial" w:cs="Arial" w:eastAsia="Arial" w:hAnsi="Arial"/>
                <w:sz w:val="20"/>
                <w:szCs w:val="20"/>
              </w:rPr>
              <w:t xml:space="preserve">Civil construction (onshore); device fabrication (domestic supplier preference); offshore installation at Gopalpur; subsea cabling; substation commissioning</w:t>
            </w:r>
          </w:p>
        </w:tc>
        <w:tc>
          <w:tcPr>
            <w:tcW w:type="dxa" w:w="2226"/>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left"/>
            </w:pPr>
            <w:r>
              <w:rPr>
                <w:rFonts w:ascii="Arial" w:cs="Arial" w:eastAsia="Arial" w:hAnsi="Arial"/>
                <w:sz w:val="20"/>
                <w:szCs w:val="20"/>
              </w:rPr>
              <w:t xml:space="preserve">Gopalpur pilot (500–750 kW) commissioned; first kWh injected to GRIDCO grid</w:t>
            </w:r>
          </w:p>
        </w:tc>
      </w:tr>
      <w:tr>
        <w:tc>
          <w:tcPr>
            <w:tcW w:type="dxa" w:w="12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3</w:t>
            </w:r>
          </w:p>
        </w:tc>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Months 37–48
(Year 3–4)</w:t>
            </w:r>
          </w:p>
        </w:tc>
        <w:tc>
          <w:tcPr>
            <w:tcW w:type="dxa" w:w="3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Chandrabhaga Point Absorber deployment; Puri OWC installation; Paradeep OWC installation; performance monitoring system (SCADA) rollout; first annual performance review</w:t>
            </w:r>
          </w:p>
        </w:tc>
        <w:tc>
          <w:tcPr>
            <w:tcW w:type="dxa" w:w="22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All 4 sites operational; SCADA dashboard live; Year-1 Annual Performance Report to MNRE</w:t>
            </w:r>
          </w:p>
        </w:tc>
      </w:tr>
      <w:tr>
        <w:tc>
          <w:tcPr>
            <w:tcW w:type="dxa" w:w="1200"/>
            <w:tcBorders>
              <w:top w:val="single" w:color="BDC3C7" w:sz="1"/>
              <w:left w:val="single" w:color="BDC3C7" w:sz="1"/>
              <w:bottom w:val="single" w:color="BDC3C7" w:sz="1"/>
              <w:right w:val="single" w:color="BDC3C7" w:sz="1"/>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 4</w:t>
            </w:r>
          </w:p>
        </w:tc>
        <w:tc>
          <w:tcPr>
            <w:tcW w:type="dxa" w:w="1800"/>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left"/>
            </w:pPr>
            <w:r>
              <w:rPr>
                <w:rFonts w:ascii="Arial" w:cs="Arial" w:eastAsia="Arial" w:hAnsi="Arial"/>
                <w:sz w:val="20"/>
                <w:szCs w:val="20"/>
              </w:rPr>
              <w:t xml:space="preserve">Months 49–60
(Year 5)</w:t>
            </w:r>
          </w:p>
        </w:tc>
        <w:tc>
          <w:tcPr>
            <w:tcW w:type="dxa" w:w="3800"/>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left"/>
            </w:pPr>
            <w:r>
              <w:rPr>
                <w:rFonts w:ascii="Arial" w:cs="Arial" w:eastAsia="Arial" w:hAnsi="Arial"/>
                <w:sz w:val="20"/>
                <w:szCs w:val="20"/>
              </w:rPr>
              <w:t xml:space="preserve">Scale-up assessment; commercial feasibility report for 5–10 MW expansion; technology transfer to Indian manufacturers; LCOE optimisation; replication blueprint for other states</w:t>
            </w:r>
          </w:p>
        </w:tc>
        <w:tc>
          <w:tcPr>
            <w:tcW w:type="dxa" w:w="2226"/>
            <w:tcBorders>
              <w:top w:val="single" w:color="BDC3C7" w:sz="1"/>
              <w:left w:val="single" w:color="BDC3C7" w:sz="1"/>
              <w:bottom w:val="single" w:color="BDC3C7" w:sz="1"/>
              <w:right w:val="single" w:color="BDC3C7" w:sz="1"/>
            </w:tcBorders>
            <w:shd w:fill="D1F2EB" w:val="clear"/>
            <w:tcMar>
              <w:top w:type="dxa" w:w="80"/>
              <w:left w:type="dxa" w:w="120"/>
              <w:bottom w:type="dxa" w:w="80"/>
              <w:right w:type="dxa" w:w="120"/>
            </w:tcMar>
          </w:tcPr>
          <w:p>
            <w:pPr>
              <w:jc w:val="left"/>
            </w:pPr>
            <w:r>
              <w:rPr>
                <w:rFonts w:ascii="Arial" w:cs="Arial" w:eastAsia="Arial" w:hAnsi="Arial"/>
                <w:sz w:val="20"/>
                <w:szCs w:val="20"/>
              </w:rPr>
              <w:t xml:space="preserve">Scale-up DPR; National Wave Energy Replication Blueprint; Patent / IP filings</w:t>
            </w:r>
          </w:p>
        </w:tc>
      </w:tr>
    </w:tbl>
    <w:p>
      <w:pPr>
        <w:spacing w:after="120"/>
      </w:pPr>
      <w:r>
        <w:t xml:space="preserve"/>
      </w:r>
    </w:p>
    <w:p>
      <w:r>
        <w:br w:type="page"/>
      </w:r>
    </w:p>
    <w:p>
      <w:pPr>
        <w:pStyle w:val="Heading1"/>
        <w:pBdr>
          <w:bottom w:val="single" w:color="1B3A6B" w:sz="6" w:space="1"/>
        </w:pBdr>
        <w:spacing w:after="200" w:before="360"/>
      </w:pPr>
      <w:r>
        <w:rPr>
          <w:rFonts w:ascii="Arial" w:cs="Arial" w:eastAsia="Arial" w:hAnsi="Arial"/>
          <w:b/>
          <w:bCs/>
          <w:color w:val="1B3A6B"/>
          <w:sz w:val="36"/>
          <w:szCs w:val="36"/>
        </w:rPr>
        <w:t xml:space="preserve">11. RISK REGISTER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426"/>
      </w:tblGrid>
      <w:tr>
        <w:trPr>
          <w:tblHeader/>
        </w:trPr>
        <w:tc>
          <w:tcPr>
            <w:tcW w:type="dxa" w:w="28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W w:type="dxa" w:w="14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Likelihood</w:t>
            </w:r>
          </w:p>
        </w:tc>
        <w:tc>
          <w:tcPr>
            <w:tcW w:type="dxa" w:w="14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3426"/>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Cyclone damage to devices</w:t>
            </w:r>
          </w:p>
        </w:tc>
        <w:tc>
          <w:tcPr>
            <w:tcW w:type="dxa" w:w="1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1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Very High</w:t>
            </w:r>
          </w:p>
        </w:tc>
        <w:tc>
          <w:tcPr>
            <w:tcW w:type="dxa" w:w="34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Cyclone-rated mooring; insurance; device retrieval protocols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CRZ/EC clearance delays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3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Early parallel filing; dedicated regulatory officer in PMU</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Fishermen community opposition</w:t>
            </w:r>
          </w:p>
        </w:tc>
        <w:tc>
          <w:tcPr>
            <w:tcW w:type="dxa" w:w="1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1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34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FPIC process; benefit-sharing fund; employment priority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Technology under-performance</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3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Performance bond from device supplier; NIOT technical audit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Grid absorption issues (GRIDCO)</w:t>
            </w:r>
          </w:p>
        </w:tc>
        <w:tc>
          <w:tcPr>
            <w:tcW w:type="dxa" w:w="1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3426"/>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sz w:val="20"/>
                <w:szCs w:val="20"/>
              </w:rPr>
              <w:t xml:space="preserve">PPA with curtailment clauses; battery buffer storage provision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Cost overruns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3426"/>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15% contingency reserve; fixed-price EPC contract preferred</w:t>
            </w:r>
          </w:p>
        </w:tc>
      </w:tr>
    </w:tbl>
    <w:p>
      <w:pPr>
        <w:spacing w:after="120"/>
      </w:pPr>
      <w:r>
        <w:t xml:space="preserve"/>
      </w:r>
    </w:p>
    <w:p>
      <w:r>
        <w:br w:type="page"/>
      </w:r>
    </w:p>
    <w:p>
      <w:pPr>
        <w:pStyle w:val="Heading1"/>
        <w:pBdr>
          <w:bottom w:val="single" w:color="1B3A6B" w:sz="6" w:space="1"/>
        </w:pBdr>
        <w:spacing w:after="200" w:before="360"/>
      </w:pPr>
      <w:r>
        <w:rPr>
          <w:rFonts w:ascii="Arial" w:cs="Arial" w:eastAsia="Arial" w:hAnsi="Arial"/>
          <w:b/>
          <w:bCs/>
          <w:color w:val="1B3A6B"/>
          <w:sz w:val="36"/>
          <w:szCs w:val="36"/>
        </w:rPr>
        <w:t xml:space="preserve">12. CONCLUSIONS &amp; RECOMMENDATIONS</w:t>
      </w:r>
    </w:p>
    <w:p>
      <w:pPr>
        <w:pStyle w:val="Heading2"/>
        <w:spacing w:after="120" w:before="240"/>
      </w:pPr>
      <w:r>
        <w:rPr>
          <w:rFonts w:ascii="Arial" w:cs="Arial" w:eastAsia="Arial" w:hAnsi="Arial"/>
          <w:b/>
          <w:bCs/>
          <w:color w:val="0D7377"/>
          <w:sz w:val="28"/>
          <w:szCs w:val="28"/>
        </w:rPr>
        <w:t xml:space="preserve">12.1 Key Conclusions</w:t>
      </w:r>
    </w:p>
    <w:p>
      <w:pPr>
        <w:pStyle w:val="ListParagraph"/>
        <w:numPr>
          <w:ilvl w:val="0"/>
          <w:numId w:val="2"/>
        </w:numPr>
        <w:spacing w:after="80"/>
      </w:pPr>
      <w:r>
        <w:rPr>
          <w:rFonts w:ascii="Arial" w:cs="Arial" w:eastAsia="Arial" w:hAnsi="Arial"/>
          <w:sz w:val="22"/>
          <w:szCs w:val="22"/>
        </w:rPr>
        <w:t xml:space="preserve">Odisha’s coastline, particularly Gopalpur-on-Sea and Chandrabhaga, offers wave energy potential of 14–22 kW/m — among the highest available along the eastern Indian coastline.</w:t>
      </w:r>
    </w:p>
    <w:p>
      <w:pPr>
        <w:pStyle w:val="ListParagraph"/>
        <w:numPr>
          <w:ilvl w:val="0"/>
          <w:numId w:val="2"/>
        </w:numPr>
        <w:spacing w:after="80"/>
      </w:pPr>
      <w:r>
        <w:rPr>
          <w:rFonts w:ascii="Arial" w:cs="Arial" w:eastAsia="Arial" w:hAnsi="Arial"/>
          <w:sz w:val="22"/>
          <w:szCs w:val="22"/>
        </w:rPr>
        <w:t xml:space="preserve">A pilot programme of approximately ₹21–42 Crore across four sites is technically feasible, environmentally manageable with mitigation, and financially structured for MNRE grant-in-aid eligibility.</w:t>
      </w:r>
    </w:p>
    <w:p>
      <w:pPr>
        <w:pStyle w:val="ListParagraph"/>
        <w:numPr>
          <w:ilvl w:val="0"/>
          <w:numId w:val="2"/>
        </w:numPr>
        <w:spacing w:after="80"/>
      </w:pPr>
      <w:r>
        <w:rPr>
          <w:rFonts w:ascii="Arial" w:cs="Arial" w:eastAsia="Arial" w:hAnsi="Arial"/>
          <w:sz w:val="22"/>
          <w:szCs w:val="22"/>
        </w:rPr>
        <w:t xml:space="preserve">Technology selection should prioritise OWC for Puri and Paradeep (lower risk, higher TRL) and Point Absorbers/Attenuators for Gopalpur and Chandrabhaga (higher energy yield).</w:t>
      </w:r>
    </w:p>
    <w:p>
      <w:pPr>
        <w:pStyle w:val="ListParagraph"/>
        <w:numPr>
          <w:ilvl w:val="0"/>
          <w:numId w:val="2"/>
        </w:numPr>
        <w:spacing w:after="80"/>
      </w:pPr>
      <w:r>
        <w:rPr>
          <w:rFonts w:ascii="Arial" w:cs="Arial" w:eastAsia="Arial" w:hAnsi="Arial"/>
          <w:sz w:val="22"/>
          <w:szCs w:val="22"/>
        </w:rPr>
        <w:t xml:space="preserve">Odisha holds a first-mover advantage over Gujarat, Andhra Pradesh, and Maharashtra for a grid-connected wave energy demonstration — an opportunity to establish national leadership in the emerging blue energy economy.</w:t>
      </w:r>
    </w:p>
    <w:p>
      <w:pPr>
        <w:pStyle w:val="ListParagraph"/>
        <w:numPr>
          <w:ilvl w:val="0"/>
          <w:numId w:val="2"/>
        </w:numPr>
        <w:spacing w:after="80"/>
      </w:pPr>
      <w:r>
        <w:rPr>
          <w:rFonts w:ascii="Arial" w:cs="Arial" w:eastAsia="Arial" w:hAnsi="Arial"/>
          <w:sz w:val="22"/>
          <w:szCs w:val="22"/>
        </w:rPr>
        <w:t xml:space="preserve">With rigorous CRZ compliance, turtle protection protocols, and a proactive community engagement plan, the environmental and social risks are manageable within the project scope.</w:t>
      </w:r>
    </w:p>
    <w:p>
      <w:pPr>
        <w:pStyle w:val="Heading2"/>
        <w:spacing w:after="120" w:before="240"/>
      </w:pPr>
      <w:r>
        <w:rPr>
          <w:rFonts w:ascii="Arial" w:cs="Arial" w:eastAsia="Arial" w:hAnsi="Arial"/>
          <w:b/>
          <w:bCs/>
          <w:color w:val="0D7377"/>
          <w:sz w:val="28"/>
          <w:szCs w:val="28"/>
        </w:rPr>
        <w:t xml:space="preserve">12.2 Strategic Recommendations to MNRE</w:t>
      </w:r>
    </w:p>
    <w:p>
      <w:pPr>
        <w:pStyle w:val="ListParagraph"/>
        <w:numPr>
          <w:ilvl w:val="0"/>
          <w:numId w:val="3"/>
        </w:numPr>
        <w:spacing w:after="80"/>
      </w:pPr>
      <w:r>
        <w:rPr>
          <w:rFonts w:ascii="Arial" w:cs="Arial" w:eastAsia="Arial" w:hAnsi="Arial"/>
          <w:sz w:val="22"/>
          <w:szCs w:val="22"/>
        </w:rPr>
        <w:t xml:space="preserve">Sanction Phase-I funding of ₹10–15 Crore for Gopalpur-on-Sea as India’s flagship wave energy pilot under the Ocean Energy Development Programme.</w:t>
      </w:r>
    </w:p>
    <w:p>
      <w:pPr>
        <w:pStyle w:val="ListParagraph"/>
        <w:numPr>
          <w:ilvl w:val="0"/>
          <w:numId w:val="3"/>
        </w:numPr>
        <w:spacing w:after="80"/>
      </w:pPr>
      <w:r>
        <w:rPr>
          <w:rFonts w:ascii="Arial" w:cs="Arial" w:eastAsia="Arial" w:hAnsi="Arial"/>
          <w:sz w:val="22"/>
          <w:szCs w:val="22"/>
        </w:rPr>
        <w:t xml:space="preserve">Establish a National Wave Energy Mission (NWEM) under MNRE with IIT Madras, NIOT, IIT Bhubaneswar, and OREDA as technical partners.</w:t>
      </w:r>
    </w:p>
    <w:p>
      <w:pPr>
        <w:pStyle w:val="ListParagraph"/>
        <w:numPr>
          <w:ilvl w:val="0"/>
          <w:numId w:val="3"/>
        </w:numPr>
        <w:spacing w:after="80"/>
      </w:pPr>
      <w:r>
        <w:rPr>
          <w:rFonts w:ascii="Arial" w:cs="Arial" w:eastAsia="Arial" w:hAnsi="Arial"/>
          <w:sz w:val="22"/>
          <w:szCs w:val="22"/>
        </w:rPr>
        <w:t xml:space="preserve">Mandate a Wave Energy Feed-in Tariff (FiT) of ₹10–12/kWh for the first 5 years of operation to de-risk early investment.</w:t>
      </w:r>
    </w:p>
    <w:p>
      <w:pPr>
        <w:pStyle w:val="ListParagraph"/>
        <w:numPr>
          <w:ilvl w:val="0"/>
          <w:numId w:val="3"/>
        </w:numPr>
        <w:spacing w:after="80"/>
      </w:pPr>
      <w:r>
        <w:rPr>
          <w:rFonts w:ascii="Arial" w:cs="Arial" w:eastAsia="Arial" w:hAnsi="Arial"/>
          <w:sz w:val="22"/>
          <w:szCs w:val="22"/>
        </w:rPr>
        <w:t xml:space="preserve">Commission a National Wave Energy Atlas (NWEA) through NIOT covering all Indian coastal states, to inform a 500 MW national wave energy target by 2035.</w:t>
      </w:r>
    </w:p>
    <w:p>
      <w:pPr>
        <w:pStyle w:val="ListParagraph"/>
        <w:numPr>
          <w:ilvl w:val="0"/>
          <w:numId w:val="3"/>
        </w:numPr>
        <w:spacing w:after="80"/>
      </w:pPr>
      <w:r>
        <w:rPr>
          <w:rFonts w:ascii="Arial" w:cs="Arial" w:eastAsia="Arial" w:hAnsi="Arial"/>
          <w:sz w:val="22"/>
          <w:szCs w:val="22"/>
        </w:rPr>
        <w:t xml:space="preserve">Fast-track CRZ reform for offshore wave energy devices (beyond 500 m from HTL) to reduce regulatory lag from 18 months to 9 months.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20"/>
              <w:left w:type="dxa" w:w="180"/>
              <w:bottom w:type="dxa" w:w="120"/>
              <w:right w:type="dxa" w:w="180"/>
            </w:tcMar>
          </w:tcPr>
          <w:p>
            <w:r>
              <w:rPr>
                <w:rFonts w:ascii="Arial" w:cs="Arial" w:eastAsia="Arial" w:hAnsi="Arial"/>
                <w:b/>
                <w:bCs/>
                <w:color w:val="1B3A6B"/>
                <w:sz w:val="22"/>
                <w:szCs w:val="22"/>
              </w:rPr>
              <w:t xml:space="preserve">Contact for Further Information</w:t>
            </w:r>
          </w:p>
          <w:p>
            <w:pPr>
              <w:spacing w:before="60"/>
            </w:pPr>
            <w:r>
              <w:rPr>
                <w:rFonts w:ascii="Arial" w:cs="Arial" w:eastAsia="Arial" w:hAnsi="Arial"/>
                <w:color w:val="1A1A1A"/>
                <w:sz w:val="21"/>
                <w:szCs w:val="21"/>
              </w:rPr>
              <w:t xml:space="preserve">Dr. Debasis Pahi (Ph.D., IIT Kharagpur) | Assistant Professor &amp; HoD, Commerce | MDC Malkangiri, Vikram Dev University, Jeypore, Odisha | Email: drdebasis.research@gmail.com | LinkedIn: Debasis Pahi (Ph.D) | Website: https://drdpklass.github.io/about.html</w:t>
            </w:r>
          </w:p>
        </w:tc>
      </w:tr>
    </w:tbl>
    <w:p>
      <w:pPr>
        <w:spacing w:after="120"/>
      </w:pPr>
      <w:r>
        <w:t xml:space="preserve"/>
      </w:r>
    </w:p>
    <w:p>
      <w:r>
        <w:br w:type="page"/>
      </w:r>
    </w:p>
    <w:p>
      <w:pPr>
        <w:pStyle w:val="Heading1"/>
        <w:pBdr>
          <w:bottom w:val="single" w:color="1B3A6B" w:sz="6" w:space="1"/>
        </w:pBdr>
        <w:spacing w:after="200" w:before="360"/>
      </w:pPr>
      <w:r>
        <w:rPr>
          <w:rFonts w:ascii="Arial" w:cs="Arial" w:eastAsia="Arial" w:hAnsi="Arial"/>
          <w:b/>
          <w:bCs/>
          <w:color w:val="1B3A6B"/>
          <w:sz w:val="36"/>
          <w:szCs w:val="36"/>
        </w:rPr>
        <w:t xml:space="preserve">REFERENCES &amp; DATA SOURCES</w:t>
      </w:r>
    </w:p>
    <w:p>
      <w:pPr>
        <w:pStyle w:val="ListParagraph"/>
        <w:numPr>
          <w:ilvl w:val="0"/>
          <w:numId w:val="3"/>
        </w:numPr>
        <w:spacing w:after="80"/>
      </w:pPr>
      <w:r>
        <w:rPr>
          <w:rFonts w:ascii="Arial" w:cs="Arial" w:eastAsia="Arial" w:hAnsi="Arial"/>
          <w:sz w:val="22"/>
          <w:szCs w:val="22"/>
        </w:rPr>
        <w:t xml:space="preserve">National Institute of Ocean Technology (NIOT), Chennai – Wave Energy Atlas of India (2020)</w:t>
      </w:r>
    </w:p>
    <w:p>
      <w:pPr>
        <w:pStyle w:val="ListParagraph"/>
        <w:numPr>
          <w:ilvl w:val="0"/>
          <w:numId w:val="3"/>
        </w:numPr>
        <w:spacing w:after="80"/>
      </w:pPr>
      <w:r>
        <w:rPr>
          <w:rFonts w:ascii="Arial" w:cs="Arial" w:eastAsia="Arial" w:hAnsi="Arial"/>
          <w:sz w:val="22"/>
          <w:szCs w:val="22"/>
        </w:rPr>
        <w:t xml:space="preserve">Ministry of New and Renewable Energy (MNRE) – Ocean Energy Policy Documents (2019, 2022)</w:t>
      </w:r>
    </w:p>
    <w:p>
      <w:pPr>
        <w:pStyle w:val="ListParagraph"/>
        <w:numPr>
          <w:ilvl w:val="0"/>
          <w:numId w:val="3"/>
        </w:numPr>
        <w:spacing w:after="80"/>
      </w:pPr>
      <w:r>
        <w:rPr>
          <w:rFonts w:ascii="Arial" w:cs="Arial" w:eastAsia="Arial" w:hAnsi="Arial"/>
          <w:sz w:val="22"/>
          <w:szCs w:val="22"/>
        </w:rPr>
        <w:t xml:space="preserve">MoEFCC – CRZ Notification 2019 and EIA Notification 2006 (as amended)</w:t>
      </w:r>
    </w:p>
    <w:p>
      <w:pPr>
        <w:pStyle w:val="ListParagraph"/>
        <w:numPr>
          <w:ilvl w:val="0"/>
          <w:numId w:val="3"/>
        </w:numPr>
        <w:spacing w:after="80"/>
      </w:pPr>
      <w:r>
        <w:rPr>
          <w:rFonts w:ascii="Arial" w:cs="Arial" w:eastAsia="Arial" w:hAnsi="Arial"/>
          <w:sz w:val="22"/>
          <w:szCs w:val="22"/>
        </w:rPr>
        <w:t xml:space="preserve">Odisha Renewable Energy Development Agency (OREDA) – State RE Policy 2022</w:t>
      </w:r>
    </w:p>
    <w:p>
      <w:pPr>
        <w:pStyle w:val="ListParagraph"/>
        <w:numPr>
          <w:ilvl w:val="0"/>
          <w:numId w:val="3"/>
        </w:numPr>
        <w:spacing w:after="80"/>
      </w:pPr>
      <w:r>
        <w:rPr>
          <w:rFonts w:ascii="Arial" w:cs="Arial" w:eastAsia="Arial" w:hAnsi="Arial"/>
          <w:sz w:val="22"/>
          <w:szCs w:val="22"/>
        </w:rPr>
        <w:t xml:space="preserve">GRIDCO Odisha – Transmission Planning Reports (2022–23)</w:t>
      </w:r>
    </w:p>
    <w:p>
      <w:pPr>
        <w:pStyle w:val="ListParagraph"/>
        <w:numPr>
          <w:ilvl w:val="0"/>
          <w:numId w:val="3"/>
        </w:numPr>
        <w:spacing w:after="80"/>
      </w:pPr>
      <w:r>
        <w:rPr>
          <w:rFonts w:ascii="Arial" w:cs="Arial" w:eastAsia="Arial" w:hAnsi="Arial"/>
          <w:sz w:val="22"/>
          <w:szCs w:val="22"/>
        </w:rPr>
        <w:t xml:space="preserve">IMD Pune – Bay of Bengal Cyclone Track and Wave Data (1990–2024)</w:t>
      </w:r>
    </w:p>
    <w:p>
      <w:pPr>
        <w:pStyle w:val="ListParagraph"/>
        <w:numPr>
          <w:ilvl w:val="0"/>
          <w:numId w:val="3"/>
        </w:numPr>
        <w:spacing w:after="80"/>
      </w:pPr>
      <w:r>
        <w:rPr>
          <w:rFonts w:ascii="Arial" w:cs="Arial" w:eastAsia="Arial" w:hAnsi="Arial"/>
          <w:sz w:val="22"/>
          <w:szCs w:val="22"/>
        </w:rPr>
        <w:t xml:space="preserve">IRENA – Ocean Energy: Technology Readiness, Patents, Deployment Status and Outlook (2014, 2020)</w:t>
      </w:r>
    </w:p>
    <w:p>
      <w:pPr>
        <w:pStyle w:val="ListParagraph"/>
        <w:numPr>
          <w:ilvl w:val="0"/>
          <w:numId w:val="3"/>
        </w:numPr>
        <w:spacing w:after="80"/>
      </w:pPr>
      <w:r>
        <w:rPr>
          <w:rFonts w:ascii="Arial" w:cs="Arial" w:eastAsia="Arial" w:hAnsi="Arial"/>
          <w:sz w:val="22"/>
          <w:szCs w:val="22"/>
        </w:rPr>
        <w:t xml:space="preserve">Wave Energy Scotland (WES) – Technology Performance Report (2022)</w:t>
      </w:r>
    </w:p>
    <w:p>
      <w:pPr>
        <w:pStyle w:val="ListParagraph"/>
        <w:numPr>
          <w:ilvl w:val="0"/>
          <w:numId w:val="3"/>
        </w:numPr>
        <w:spacing w:after="80"/>
      </w:pPr>
      <w:r>
        <w:rPr>
          <w:rFonts w:ascii="Arial" w:cs="Arial" w:eastAsia="Arial" w:hAnsi="Arial"/>
          <w:sz w:val="22"/>
          <w:szCs w:val="22"/>
        </w:rPr>
        <w:t xml:space="preserve">ERA5 Reanalysis Dataset – Copernicus Climate Change Service (C3S), ECMWF</w:t>
      </w:r>
    </w:p>
    <w:p>
      <w:pPr>
        <w:pStyle w:val="ListParagraph"/>
        <w:numPr>
          <w:ilvl w:val="0"/>
          <w:numId w:val="3"/>
        </w:numPr>
        <w:spacing w:after="80"/>
      </w:pPr>
      <w:r>
        <w:rPr>
          <w:rFonts w:ascii="Arial" w:cs="Arial" w:eastAsia="Arial" w:hAnsi="Arial"/>
          <w:sz w:val="22"/>
          <w:szCs w:val="22"/>
        </w:rPr>
        <w:t xml:space="preserve">UNFCCC – India’s Nationally Determined Contribution (NDC) Update 2022</w:t>
      </w:r>
    </w:p>
    <w:p>
      <w:pPr>
        <w:pStyle w:val="ListParagraph"/>
        <w:numPr>
          <w:ilvl w:val="0"/>
          <w:numId w:val="3"/>
        </w:numPr>
        <w:spacing w:after="80"/>
      </w:pPr>
      <w:r>
        <w:rPr>
          <w:rFonts w:ascii="Arial" w:cs="Arial" w:eastAsia="Arial" w:hAnsi="Arial"/>
          <w:sz w:val="22"/>
          <w:szCs w:val="22"/>
        </w:rPr>
        <w:t xml:space="preserve">World Bank – State of the Ocean Report: Blue Economy &amp; Renewable Energy (2023)</w:t>
      </w:r>
    </w:p>
    <w:p>
      <w:pPr>
        <w:pStyle w:val="ListParagraph"/>
        <w:numPr>
          <w:ilvl w:val="0"/>
          <w:numId w:val="3"/>
        </w:numPr>
        <w:spacing w:after="80"/>
      </w:pPr>
      <w:r>
        <w:rPr>
          <w:rFonts w:ascii="Arial" w:cs="Arial" w:eastAsia="Arial" w:hAnsi="Arial"/>
          <w:sz w:val="22"/>
          <w:szCs w:val="22"/>
        </w:rPr>
        <w:t xml:space="preserve">Sooriyaarachchi, T.M. et al. (2015). Wave energy resource assessment for Sri Lanka and the Bay of Bengal. Renewable Energy, 83.</w:t>
      </w:r>
    </w:p>
    <w:p>
      <w:pPr>
        <w:pStyle w:val="ListParagraph"/>
        <w:numPr>
          <w:ilvl w:val="0"/>
          <w:numId w:val="3"/>
        </w:numPr>
        <w:spacing w:after="80"/>
      </w:pPr>
      <w:r>
        <w:rPr>
          <w:rFonts w:ascii="Arial" w:cs="Arial" w:eastAsia="Arial" w:hAnsi="Arial"/>
          <w:sz w:val="22"/>
          <w:szCs w:val="22"/>
        </w:rPr>
        <w:t xml:space="preserve">NITI Aayog – India’s Long-Term Low-Carbon Development Strategy (LT-LEDS), COP27 (2022)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026"/>
      </w:tabs>
      <w:spacing w:before="60"/>
    </w:pPr>
    <w:r>
      <w:rPr>
        <w:rFonts w:ascii="Arial" w:cs="Arial" w:eastAsia="Arial" w:hAnsi="Arial"/>
        <w:color w:val="5D6D7E"/>
        <w:sz w:val="16"/>
        <w:szCs w:val="16"/>
      </w:rPr>
      <w:t xml:space="preserve">Dr. Debasis Pahi | MDC Malkangiri | Vikram Dev University</w:t>
    </w:r>
    <w:r>
      <w:rPr>
        <w:rFonts w:ascii="Arial" w:cs="Arial" w:eastAsia="Arial" w:hAnsi="Arial"/>
        <w:color w:val="5D6D7E"/>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spacing w:after="60"/>
    </w:pPr>
    <w:r>
      <w:rPr>
        <w:rFonts w:ascii="Arial" w:cs="Arial" w:eastAsia="Arial" w:hAnsi="Arial"/>
        <w:color w:val="5D6D7E"/>
        <w:sz w:val="18"/>
        <w:szCs w:val="18"/>
      </w:rPr>
      <w:t xml:space="preserve">Wave Energy Feasibility Report | Odisha Coastline | MNRE Pilot Project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D737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2026-06-09T13:56:37.761Z</dcterms:created>
  <dcterms:modified xsi:type="dcterms:W3CDTF">2026-06-09T13:56:37.775Z</dcterms:modified>
</cp:coreProperties>
</file>

<file path=docProps/custom.xml><?xml version="1.0" encoding="utf-8"?>
<Properties xmlns="http://schemas.openxmlformats.org/officeDocument/2006/custom-properties" xmlns:vt="http://schemas.openxmlformats.org/officeDocument/2006/docPropsVTypes"/>
</file>