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ESG Controversies and Market Valuation Multiples: Global Panel Evidence</w:t>
      </w:r>
    </w:p>
    <w:p>
      <w:pPr>
        <w:pStyle w:val="Heading2"/>
      </w:pPr>
      <w:r>
        <w:t>Abstract</w:t>
      </w:r>
    </w:p>
    <w:p>
      <w:r>
        <w:t>This paper examines whether environmental, social and governance (ESG) controversies are reflected in equity valuation multiples once standard ESG scores and firm fundamentals are taken into account. Using a global panel of listed firms with detailed ESG performance measures and controversy indicators, we relate price–earnings and market‑to‑book ratios to both an overall ESG controversies index and a set of category‑specific controversy counts, while controlling for ESG pillar scores, profitability, leverage, size, risk and firm and year fixed effects. Prior research shows that ESG performance is often associated with higher firm value and lower risk, whereas ESG controversies can be linked to value destruction, heightened volatility and higher financing costs, with effects varying across controversy types and institutional settings. Building on this literature, we specify a parsimonious panel fixed‑effects framework designed to isolate the incremental information content of controversies beyond ESG levels and fundamentals, and we outline robustness checks based on alternative valuation measures, lag structures and sub‑samples. The study is intended to provide concise global evidence on whether markets price controversy risk into valuation multiples and which types of controversies are most strongly associated with valuation differences, thereby informing investors, corporate decision‑makers and regulators concerned with ESG risk management.</w:t>
      </w:r>
    </w:p>
    <w:p>
      <w:pPr>
        <w:pStyle w:val="Heading2"/>
      </w:pPr>
      <w:r>
        <w:t>1. Introduction</w:t>
      </w:r>
    </w:p>
    <w:p>
      <w:r>
        <w:t>A substantial body of research links firms' ESG profiles to valuation, financing costs and risk. Many studies report that strong ESG performance is associated with higher market valuation and more resilient performance in downturns, although the magnitude and even the direction of these effects can vary across markets, time periods and ESG dimensions. In parallel, a rapidly growing literature focuses not on ESG levels but on ESG controversies – salient events such as environmental spills, labor rights violations or governance scandals – that crystallise ESG risks and may trigger sharp market reactions.</w:t>
      </w:r>
    </w:p>
    <w:p>
      <w:r>
        <w:t>ESG controversies represent concentrated realisations of ESG risk. They can generate regulatory sanctions, litigation, reputational damage and operational disruptions, and may thus affect both expected cash flows and the cost of capital. Recent empirical work documents that controversy exposure can be associated with lower firm value, underperformance of the stock price and higher financing spreads, but the strength and sign of these relations appear to depend on factors such as media coverage, baseline ESG quality and the nature of the controversy. At the same time, systematic evidence at the global level on how different types of controversies are reflected in equity valuation multiples remains limited.</w:t>
      </w:r>
    </w:p>
    <w:p>
      <w:r>
        <w:t>This paper focuses on the pricing side of ESG controversies by asking whether they are associated with equity valuation multiples – specifically price–earnings and market‑to‑book ratios – once ESG scores and standard firm fundamentals are controlled for. The analysis builds on a rich global firm‑level dataset combining ESG scores, controversy indicators and financial variables. We consider both an overall measure of ESG controversy exposure and a detailed breakdown into categories such as environmental, resource‑use, pollution, deforestation, responsible‑marketing and customer health and safety controversies. This allows us to investigate whether markets appear to distinguish between different types of ESG incidents when valuing firms.</w:t>
      </w:r>
    </w:p>
    <w:p>
      <w:r>
        <w:t>Our contribution is threefold. First, we outline a global empirical setting with firm and year fixed effects, along with industry and country dimensions, to assess whether controversies are associated with valuation discounts after netting out ESG levels and fundamentals. Secondly, we differentiate between controversy categories and discuss how their relation to valuation can be interpreted in light of theoretical mechanisms such as reputational capital, stakeholder relationships and risk‑mitigation channels. Thirdly, we position controversies as a potential ESG‑related risk dimension that may contain information beyond that embedded in standard ESG scores, which are often slow‑moving and may not fully capture event risk. These issues are relevant for asset managers integrating ESG into valuation models, for firms managing ESG risks, and for regulators concerned with the transparency and credibility of sustainability reporting.</w:t>
      </w:r>
    </w:p>
    <w:p>
      <w:pPr>
        <w:pStyle w:val="Heading3"/>
      </w:pPr>
      <w:r>
        <w:t>1.1 Conceptual framework and hypotheses</w:t>
      </w:r>
    </w:p>
    <w:p>
      <w:r>
        <w:t>Conceptually, ESG controversies can affect valuation multiples through at least two channels. First, controversies may alter investors' expectations of future cash flows by signalling weaknesses in operations, governance or stakeholder relationships that could lead to fines, legal liabilities, customer boycotts or the loss of business opportunities. Secondly, controversies may increase perceived risk, raising the discount rate applied to future cash flows because of heightened tail‑risk, regulatory uncertainty or reputational vulnerability. Both channels suggest that, all else equal, greater controversy exposure could be associated with lower valuation multiples.</w:t>
      </w:r>
    </w:p>
    <w:p>
      <w:r>
        <w:t>However, prior studies also suggest that the relation may be heterogeneous and non‑linear. Firms with strong underlying ESG performance may enjoy reputational capital that partially insulates valuation from controversy shocks, while firms with weak ESG profiles may suffer larger proportional losses. Different types of controversies – for example, environmental pollution events versus product safety incidents – may also carry different financial implications depending on regulatory and market sensitivities. These considerations motivate the distinction between overall controversy exposure and category‑specific indicators in the empirical design.</w:t>
      </w:r>
    </w:p>
    <w:p>
      <w:r>
        <w:t>Against this backdrop, the empirical analysis is organised around three guiding hypotheses: (i) ESG controversies are associated with valuation multiples after controlling for ESG scores and fundamentals; (ii) category‑specific controversies exhibit heterogeneous associations with valuation, with environmentally salient events plausibly playing a prominent role; and (iii) controversy exposure contains information that is not fully subsumed by ESG scores, implying that both dimensions are relevant for understanding valuation differences across firms.</w:t>
      </w:r>
    </w:p>
    <w:p>
      <w:pPr>
        <w:pStyle w:val="Heading2"/>
      </w:pPr>
      <w:r>
        <w:t>2. Data and Variable Construction</w:t>
      </w:r>
    </w:p>
    <w:p>
      <w:r>
        <w:t>The empirical setting relies on a global panel of listed firms for which ESG performance, ESG controversies and standard financial variables are observed at an annual frequency. The ESG block includes an overall ESG score, environmental, social and governance pillar scores, and a set of category‑specific indicators capturing emissions, resource use, workforce practices, human rights, management quality and CSR strategy. The controversy block contains an overall ESG controversies score and counts of specific incidents such as environmental controversies, resource‑use controversies, water and marine resource controversies, deforestation controversies, pollution controversies, responsible‑marketing controversies and customer health and safety controversies. Financial data provide total assets, total debt, equity, cash flow, free cash flow, capital expenditures, market capitalisation, P/E ratio, beta, profitability measures (ROA, ROE, net profit margin), leverage (total debt to total equity), liquidity (current ratio) and components of the weighted average cost of capital.</w:t>
      </w:r>
    </w:p>
    <w:p>
      <w:r>
        <w:t>The sample construction follows standard practice in the ESG–valuation literature. We begin from the full coverage of firms with available ESG and controversy metrics over the study period, drop observations with missing key variables, and apply basic filters such as positive earnings where P/E ratios are analysed. Depending on comparability considerations, financial firms can be excluded or retained in separate robustness checks. The resulting panel can be unbalanced, reflecting entries and exits over time, and is suitable for firm‑level fixed‑effects estimation.</w:t>
      </w:r>
    </w:p>
    <w:p>
      <w:pPr>
        <w:pStyle w:val="Heading3"/>
      </w:pPr>
      <w:r>
        <w:t>2.1 Key variables</w:t>
      </w:r>
    </w:p>
    <w:p>
      <w:r>
        <w:t>Valuation multiples. The main dependent variable is the natural logarithm of the price–earnings ratio, constructed from P/E data aggregated to an annual frequency and winsorised to mitigate the influence of extreme values. As robustness measures, we consider the natural logarithm of the market‑to‑book ratio (market capitalisation divided by book equity) and, where data permit, the logarithm of enterprise‑value‑to‑EBITDA. These multiples are widely used by practitioners and feature prominently in recent studies of ESG and firm valuation.</w:t>
      </w:r>
    </w:p>
    <w:p>
      <w:r>
        <w:t>ESG controversies. The key explanatory variables capture controversy exposure. An overall ESG controversies score aggregates information on the severity and frequency of ESG‑related incidents for each firm‑year. In addition, separate controversy counts are available by category, including environmental, resource‑use, water and marine resources, deforestation, pollution, responsible marketing and customer health and safety. These indicators are constructed from systematically coded media and disclosure records, and enable a finer analysis of which types of controversies are most closely associated with valuation differences.</w:t>
      </w:r>
    </w:p>
    <w:p>
      <w:r>
        <w:t>ESG performance. To disentangle the effect of controversies from overall ESG quality, we include the composite ESG score and, in extended specifications, the environmental, social and governance pillar scores as controls. Prior research often finds that higher ESG scores are associated with higher valuation and lower downside risk, although the strength and direction of these relations can vary across contexts. Including both ESG scores and controversy metrics therefore allows us to assess whether controversies carry incremental information beyond ESG levels.</w:t>
      </w:r>
    </w:p>
    <w:p>
      <w:r>
        <w:t>Fundamentals and risk controls. The control vector comprises standard firm‑level characteristics: size (log total assets or log market capitalisation), leverage (total debt to total equity), profitability (ROA, ROE and net profit margin), growth opportunities (market‑to‑book or revenue growth), risk (beta), liquidity (current ratio) and cash‑flow proxies (cash flow and free cash flow scaled by assets). Industry and country indicators are included where appropriate to absorb sectoral and jurisdictional differences in valuation levels, and all specifications incorporate year fixed effects to capture common global shocks.</w:t>
      </w:r>
    </w:p>
    <w:p>
      <w:pPr>
        <w:pStyle w:val="Heading2"/>
      </w:pPr>
      <w:r>
        <w:t>3. Empirical Methodology</w:t>
      </w:r>
    </w:p>
    <w:p>
      <w:r>
        <w:t>The baseline empirical specification relates valuation multiples to ESG controversies, ESG performance and firm fundamentals in a panel fixed‑effects framework. For firm i in year t, the model can be written as: VALMULT_it = α + β₁ CONTROV_it + β₂ ESGScore_it + γ′ X_it + μ_i + λ_t + ε_it, where VALMULT_it denotes the log valuation multiple (for example, log P/E), CONTROV_it is either the overall controversy score or a vector of category‑specific controversy indicators, ESGScore_it captures ESG performance, X_it is the vector of control variables, μ_i are firm fixed effects, λ_t are year fixed effects and ε_it is an idiosyncratic error term. Firm fixed effects control for time‑invariant heterogeneity such as business model or corporate culture, while year fixed effects capture global macroeconomic and market conditions. Standard errors are clustered at the firm level to account for serial correlation.</w:t>
      </w:r>
    </w:p>
    <w:p>
      <w:r>
        <w:t>To explore heterogeneity across controversy categories, we estimate regressions that replace the overall controversy score with the full set of category‑specific counts. This allows the coefficients on environmental, resource‑use, pollution, deforestation, responsible‑marketing and customer health and safety controversies to differ, thereby providing evidence on which types of incidents are most strongly associated with valuation multiples once ESG levels and fundamentals are controlled for.</w:t>
      </w:r>
    </w:p>
    <w:p>
      <w:r>
        <w:t>The potential endogeneity of controversies – for example, if firms with low valuations are more likely to attract negative coverage – is addressed in several ways. First, we estimate specifications with lagged controversy variables and examine whether past controversy exposure is associated with current valuation multiples, conditional on lagged ESG scores and fundamentals. Secondly, we consider dynamic specifications that include lagged valuation multiples and estimate them using appropriate panel estimators, while remaining cautious about instrument proliferation and small‑T limitations. These strategies do not fully resolve all identification concerns but are intended to check the robustness of the baseline associations.</w:t>
      </w:r>
    </w:p>
    <w:p>
      <w:pPr>
        <w:pStyle w:val="Heading2"/>
      </w:pPr>
      <w:r>
        <w:t>4. Empirical Results</w:t>
      </w:r>
    </w:p>
    <w:p>
      <w:r>
        <w:t>The empirical results section is organised in three parts. First, we present descriptive statistics and correlations for valuation multiples, ESG scores, controversy indicators and control variables. This provides an overview of the distribution of controversy exposure across firms and time, and highlights the extent to which controversies are correlated with ESG scores and fundamentals. In line with prior work, controversy counts are expected to be highly skewed, with many zeros and a minority of firm‑years experiencing repeated incidents.</w:t>
      </w:r>
    </w:p>
    <w:p>
      <w:r>
        <w:t>Secondly, we report baseline panel fixed‑effects estimates of the relation between valuation multiples and controversy measures. The analysis focuses on the sign, statistical significance and economic magnitude of the coefficients on the overall controversy score and on each controversy category, conditional on ESG scores and firm characteristics. We discuss how these patterns align with or differ from existing evidence on the financial impact of ESG incidents, paying particular attention to whether controversy exposure appears to contain information beyond ESG levels.</w:t>
      </w:r>
    </w:p>
    <w:p>
      <w:r>
        <w:t>Thirdly, we summarise robustness checks that include alternative valuation measures, lagged controversy variables and sub‑sample analyses by region and sector. These exercises are designed to assess whether the baseline associations are sensitive to the choice of multiple, to the timing of controversies relative to valuation, or to differences between developed and emerging markets and between high‑pollution and low‑pollution industries. Where feasible, we also explore simple non‑linear specifications, such as quadratic terms or high‑controversy thresholds, to investigate whether the relation between controversies and valuation differs across the distribution of controversy exposure.</w:t>
      </w:r>
    </w:p>
    <w:p>
      <w:pPr>
        <w:pStyle w:val="Heading2"/>
      </w:pPr>
      <w:r>
        <w:t>5. Conclusion</w:t>
      </w:r>
    </w:p>
    <w:p>
      <w:r>
        <w:t>This paper sets out a concise empirical framework for analysing the relation between ESG controversies and equity valuation multiples in a global panel of listed firms. By combining detailed controversy indicators with ESG scores and standard financial data, the study is designed to shed light on whether and how controversy exposure is associated with price–earnings and market‑to‑book ratios after controlling for ESG performance and fundamentals. The distinction between overall and category‑specific controversies is intended to reveal which types of ESG incidents are most relevant from a valuation perspective.</w:t>
      </w:r>
    </w:p>
    <w:p>
      <w:r>
        <w:t>The findings from such an analysis have direct implications for investors, who increasingly incorporate ESG considerations into portfolio construction and risk management, and for firms and regulators concerned with the financial consequences of ESG failures. If ESG controversies are associated with lower valuation multiples even after controlling for ESG levels, this would underscore the importance of effective controversy prevention, rapid remediation and transparent communication. If, instead, the associations are weak or strongly state‑dependent, this would point to the need for more nuanced views of ESG risk that take into account differences in controversy type, baseline ESG quality and institutional context. In either case, the proposed framework is aimed at contributing focused, globally relevant evidence to the evolving debate on ESG controversies and financial markets.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