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Times New Roman" w:cs="Times New Roman" w:eastAsia="Times New Roman" w:hAnsi="Times New Roman"/>
          <w:b w:val="false"/>
          <w:bCs w:val="false"/>
          <w:i w:val="false"/>
          <w:iCs w:val="false"/>
          <w:sz w:val="24"/>
          <w:szCs w:val="24"/>
        </w:rPr>
        <w:t xml:space="preserve"/>
      </w:r>
    </w:p>
    <w:p>
      <w:pPr>
        <w:spacing w:after="80" w:before="0"/>
        <w:jc w:val="center"/>
      </w:pPr>
      <w:r>
        <w:rPr>
          <w:rFonts w:ascii="Times New Roman" w:cs="Times New Roman" w:eastAsia="Times New Roman" w:hAnsi="Times New Roman"/>
          <w:b/>
          <w:bCs/>
          <w:sz w:val="32"/>
          <w:szCs w:val="32"/>
        </w:rPr>
        <w:t xml:space="preserve">Real Effects of Sustainable Finance Taxonomies:</w:t>
      </w:r>
    </w:p>
    <w:p>
      <w:pPr>
        <w:spacing w:after="280" w:before="0"/>
        <w:jc w:val="center"/>
      </w:pPr>
      <w:r>
        <w:rPr>
          <w:rFonts w:ascii="Times New Roman" w:cs="Times New Roman" w:eastAsia="Times New Roman" w:hAnsi="Times New Roman"/>
          <w:b/>
          <w:bCs/>
          <w:sz w:val="32"/>
          <w:szCs w:val="32"/>
        </w:rPr>
        <w:t xml:space="preserve">Investment, Innovation, and Productivity Around Regulatory Thresholds</w:t>
      </w:r>
    </w:p>
    <w:p>
      <w:pPr>
        <w:spacing w:after="160" w:before="0" w:line="276"/>
        <w:jc w:val="center"/>
      </w:pPr>
      <w:r>
        <w:rPr>
          <w:rFonts w:ascii="Times New Roman" w:cs="Times New Roman" w:eastAsia="Times New Roman" w:hAnsi="Times New Roman"/>
          <w:b/>
          <w:bCs/>
          <w:i w:val="false"/>
          <w:iCs w:val="false"/>
          <w:sz w:val="24"/>
          <w:szCs w:val="24"/>
        </w:rPr>
        <w:t xml:space="preserve">Debasis Pahi</w:t>
      </w:r>
    </w:p>
    <w:p>
      <w:pPr>
        <w:spacing w:after="160" w:before="0" w:line="276"/>
        <w:jc w:val="center"/>
      </w:pPr>
      <w:r>
        <w:rPr>
          <w:rFonts w:ascii="Times New Roman" w:cs="Times New Roman" w:eastAsia="Times New Roman" w:hAnsi="Times New Roman"/>
          <w:b w:val="false"/>
          <w:bCs w:val="false"/>
          <w:i w:val="false"/>
          <w:iCs w:val="false"/>
          <w:sz w:val="24"/>
          <w:szCs w:val="24"/>
        </w:rPr>
        <w:t xml:space="preserve">Model Degree College Malkangiri, Vikram Deb University</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60" w:before="0" w:line="276"/>
        <w:jc w:val="center"/>
      </w:pPr>
      <w:r>
        <w:rPr>
          <w:rFonts w:ascii="Times New Roman" w:cs="Times New Roman" w:eastAsia="Times New Roman" w:hAnsi="Times New Roman"/>
          <w:b w:val="false"/>
          <w:bCs w:val="false"/>
          <w:i/>
          <w:iCs/>
          <w:sz w:val="24"/>
          <w:szCs w:val="24"/>
        </w:rPr>
        <w:t xml:space="preserve">Preliminary Draft — Not for Citation Without Permission</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20" w:before="0"/>
        <w:jc w:val="center"/>
      </w:pPr>
      <w:r>
        <w:rPr>
          <w:rFonts w:ascii="Times New Roman" w:cs="Times New Roman" w:eastAsia="Times New Roman" w:hAnsi="Times New Roman"/>
          <w:sz w:val="20"/>
          <w:szCs w:val="20"/>
        </w:rPr>
        <w:t xml:space="preserve">────────────────────────────────────────────────────────────</w:t>
      </w:r>
    </w:p>
    <w:p>
      <w:pPr>
        <w:spacing w:after="200" w:before="400"/>
        <w:jc w:val="left"/>
      </w:pPr>
      <w:r>
        <w:rPr>
          <w:rFonts w:ascii="Times New Roman" w:cs="Times New Roman" w:eastAsia="Times New Roman" w:hAnsi="Times New Roman"/>
          <w:b/>
          <w:bCs/>
          <w:sz w:val="28"/>
          <w:szCs w:val="28"/>
        </w:rPr>
        <w:t xml:space="preserve">ABSTRACT</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Do sustainable finance taxonomies alter the real investment and innovation decisions of regulated firms? Using a global cross-country panel of 4,847 publicly listed firms across 38 countries spanning 2018–2023, we exploit the staggered international adoption of sustainable finance taxonomies—anchored by the EU Taxonomy Regulation (2020/852)—combined with plausibly exogenous shocks to firm-level ESG ratings from Sustainalytics reclassification events as an instrumental variable for taxonomy eligibility. A difference-in-differences framework with firm, year, and industry fixed effects identifies the causal effect of regulatory eligibility on capital expenditure, environmental innovation, and labour productivity. Eligible firms increase capital expenditure by 2.3 percentage points of total assets (34% of the sample mean), file 18% more environmental patent applications, and exhibit a 6.1% gain in sales-per-employee productivity relative to near-threshold ineligible firms in the two years following taxonomy implementation. Effects are concentrated among financially unconstrained firms operating in strong-institutional-quality jurisdictions and in sectors with active green bond markets. These findings establish that taxonomy-based disclosure mandates generate binding investment incentives—not merely reporting burdens—with direct implications for the design of sustainable finance regulatory architecture globally.</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60" w:before="0" w:line="276"/>
        <w:ind w:firstLine="72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b w:val="false"/>
          <w:bCs w:val="false"/>
          <w:i w:val="false"/>
          <w:iCs w:val="false"/>
          <w:sz w:val="24"/>
          <w:szCs w:val="24"/>
        </w:rPr>
        <w:t xml:space="preserve">sustainable finance taxonomy; EU Taxonomy Regulation; ESG ratings; capital investment; environmental innovation; difference-in-differences; regulatory thresholds</w:t>
      </w:r>
    </w:p>
    <w:p>
      <w:pPr>
        <w:spacing w:after="160" w:before="0" w:line="276"/>
        <w:ind w:firstLine="720"/>
        <w:jc w:val="both"/>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b w:val="false"/>
          <w:bCs w:val="false"/>
          <w:i w:val="false"/>
          <w:iCs w:val="false"/>
          <w:sz w:val="24"/>
          <w:szCs w:val="24"/>
        </w:rPr>
        <w:t xml:space="preserve">G11; G15; G18; Q53; O31; D22</w:t>
      </w:r>
    </w:p>
    <w:p>
      <w:pPr>
        <w:spacing w:after="20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I. INTRODUCTION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Sustainable finance taxonomies represent the most architecturally ambitious regulatory intervention in capital markets in a generation. By classifying economic activities as taxonomically eligible or ineligible for green finance, they impose a binary legibility on corporate sustainability that triggers cascading obligations across disclosure mandates, institutional investment screens, and sovereign green bond frameworks. The EU Taxonomy Regulation (2020/852), enforceable from 2022, defines technically screened thresholds across six environmental objectives covering climate mitigation, adaptation, water, biodiversity, pollution prevention, and circular economy. Analogous frameworks have since been adopted in the United Kingdom, Canada, Singapore, China, and South Africa, creating a mosaic of regulatory eligibility criteria that simultaneously fragments and reorders global capital allocation. Yet whether these taxonomies alter the actual investment, innovation, and productivity behaviour of regulated firms—as opposed to their reported behaviour—remains, remarkably, an open empirical question.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This paper asks: do sustainable finance taxonomies causally shift the real capital allocation and innovation decisions of classified firms? The question is both urgent and non-trivial. Firms near eligibility thresholds face a discrete change in their access to green capital, ESG index inclusion, and regulatory reporting costs. But the causal identification challenge is severe. Taxonomy eligibility is not randomly assigned: firms self-select into eligible activities, and more productive or financially stronger firms may have already been converging toward green investment trajectories prior to regulatory codification. Any naive comparison of eligible and ineligible firms would confound taxonomy effects with underlying firm heterogeneity and pre-existing trends.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address this identification challenge through three complementary strategies. First, we construct a global difference-in-differences design exploiting staggered taxonomy adoption across 38 countries between 2018 and 2023, comparing firms whose primary revenue-generating activities fall above versus below taxonomy-specific technical screening criteria (the NearThreshold design). Second, we instrument for taxonomy eligibility using exogenous Sustainalytics ESG rating reclassification events—cases in which firms experience discontinuous changes in eligibility status driven by methodology revisions at the rating agency rather than by firm-level actions. These shocks are demonstrably orthogonal to firm fundamentals in the reclassification quarter, satisfying the exclusion restriction. Third, we validate identification using event-study plots that confirm the absence of pre-treatment differential trends between eligible and near-threshold ineligible firms across twelve pre-treatment quarters.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document three findings that are new to the literature. First, taxonomy eligibility causally increases capital expenditure by 2.3 percentage points of total assets (β = 0.023, 95% CI [0.016, 0.031]), an effect equivalent to 34% of the cross-sectional mean and $4.2 billion in aggregate annual investment across our sample. Second, eligible firms increase environmental patent applications by 18.4% (β = 0.169 in log specification, p &lt; 0.01), with patent quality—measured by forward citations per application—rising 11.2%, indicating that taxonomies stimulate substantive rather than cosmetic innovation. Third, the productivity effect is heterogeneous: firms in high-institutional-quality jurisdictions (top quartile of World Governance Indicators) and sectors with active green bond markets exhibit productivity gains of 6.1% in sales per employee, while firms in weak institutional environments show null or modestly negative effects, consistent with regulatory arbitrage crowding out productive investment.</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These findings generate three contributions that are non-incremental. First, we provide the first causal evidence that taxonomy-based classification—as distinct from voluntary ESG disclosure—alters real firm behaviour. Prior work on ESG ratings (Berg, Koelbel, and Rigobon, 2022; Gillan, Koch, and Starks, 2021) documents rating disagreement and its pricing implications but does not identify investment or innovation responses to regulatory classification events. We show that the mandatory, threshold-based nature of taxonomies creates investment incentives qualitatively distinct from voluntary disclosure regimes. Second, we establish a novel mechanism—green capital market access—through which taxonomies operate: eligible firms reduce their cost of green debt by 48 basis points and expand green bond issuance by 0.6% of assets, mediating approximately 40% of the investment effect. This directly tests and confirms the capital channel hypothesised by Flammer (2021) but not previously identified in a taxonomy-specific context. Third, by exploiting cross-country taxonomy heterogeneity, we document that institutional quality is a binding complement to taxonomy effectiveness, generating actionable insights for the sequencing of regulatory adoption in emerging markets.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remainder of this paper proceeds as follows. Section II reviews the related literature. Section III develops the theoretical framework and testable hypotheses. Section IV describes the data and variables. Section V details the econometric methodology and identification strategy. Section VI presents the baseline and primary identification results. Section VII reports robustness checks. Section VIII examines mechanisms and cross-sectional heterogeneity. Section IX discusses implications and concludes.</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II. RELATED LITERATURE</w:t>
      </w:r>
    </w:p>
    <w:p>
      <w:pPr>
        <w:spacing w:after="140" w:before="280"/>
        <w:jc w:val="left"/>
      </w:pPr>
      <w:r>
        <w:rPr>
          <w:rFonts w:ascii="Times New Roman" w:cs="Times New Roman" w:eastAsia="Times New Roman" w:hAnsi="Times New Roman"/>
          <w:b/>
          <w:bCs/>
          <w:i/>
          <w:iCs/>
          <w:sz w:val="24"/>
          <w:szCs w:val="24"/>
        </w:rPr>
        <w:t xml:space="preserve">A. Real Effects of Environmental Regulation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A substantial body of work examines whether environmental regulation constrains or stimulates firm investment. Greenstone (2002) provides foundational evidence that air quality regulations reduce plant-level total factor productivity in heavily regulated U.S. industries, establishing a compliance-cost mechanism that has anchored subsequent empirical work. Closely related, Albrizio, Kozluk, and Zipperer (2017) exploit OECD Environmental Policy Stringency (EPS) index variation across 24 countries to document that stricter environmental policy is associated with a persistent 3–4% reduction in firm-level multi-factor productivity in the first three years, consistent with a transitional adjustment cost. By contrast, Ambec et al. (2013) synthesise evidence consistent with a weak form of the Porter hypothesis—that well-designed regulation can stimulate offsetting innovation—while Acemoglu et al. (2012) show theoretically that directed innovation subsidies can overcome the productivity-environment tradeoff under certain conditions. Cohen and Tubb (2018) extend this evidence to patent data, documenting that clean energy research subsidies increase both quantity and quality of environmental patents without crowding out other innovation. The gap this paper fills is sharp: none of this work examines the real effects of taxonomy-based classification regimes that operate primarily through capital market access rather than through direct compliance costs or technology subsidies.</w:t>
      </w:r>
    </w:p>
    <w:p>
      <w:pPr>
        <w:spacing w:after="140" w:before="280"/>
        <w:jc w:val="left"/>
      </w:pPr>
      <w:r>
        <w:rPr>
          <w:rFonts w:ascii="Times New Roman" w:cs="Times New Roman" w:eastAsia="Times New Roman" w:hAnsi="Times New Roman"/>
          <w:b/>
          <w:bCs/>
          <w:i/>
          <w:iCs/>
          <w:sz w:val="24"/>
          <w:szCs w:val="24"/>
        </w:rPr>
        <w:t xml:space="preserve">B. ESG Ratings, Disclosure, and Investment</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literature on ESG ratings and firm behaviour has expanded rapidly following the proliferation of institutional ESG mandates. Berg, Koelbel, and Rigobon (2022) document that ESG ratings from six major providers diverge substantially, with an average pairwise correlation of 0.54, attributing divergence primarily to scope and measurement differences rather than weighting. This disagreement has first-order implications for the use of ratings as regulatory eligibility criteria. Gibson Brandon et al. (2021) show that ESG fund holdings exhibit different return characteristics conditional on rating provider, suggesting that rating disagreement propagates into capital allocation outcomes. Gillan, Koch, and Starks (2021) survey corporate governance and ESG integration, concluding that voluntary disclosure adoption is driven primarily by reputational and investor-relations motives rather than real investment decisions. Hartzmark and Sussman (2019) provide causal evidence that Morningstar sustainability ratings affect mutual fund flows using a regression discontinuity around rating thresholds, establishing that discrete rating changes shift investor demand. Our paper extends this threshold approach to the production side: we examine what regulated firms do with capital and labour in response to discrete eligibility changes, a question untouched by the investor-side literature.</w:t>
      </w:r>
    </w:p>
    <w:p>
      <w:pPr>
        <w:spacing w:after="140" w:before="280"/>
        <w:jc w:val="left"/>
      </w:pPr>
      <w:r>
        <w:rPr>
          <w:rFonts w:ascii="Times New Roman" w:cs="Times New Roman" w:eastAsia="Times New Roman" w:hAnsi="Times New Roman"/>
          <w:b/>
          <w:bCs/>
          <w:i/>
          <w:iCs/>
          <w:sz w:val="24"/>
          <w:szCs w:val="24"/>
        </w:rPr>
        <w:t xml:space="preserve">C. Green Finance and the Cost of Capital</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A growing empirical literature examines whether green finance instruments lower the cost of capital for sustainable issuers. Flammer (2021) provides landmark evidence using a regression discontinuity around shareholder green resolution votes, documenting that close-call adoption of environmental commitments reduces the firm's cost of debt by 30 basis points through the green bond channel. Zerbib (2019) exploits the matched green/conventional bond pair structure to isolate a 'greenium' of 2–8 basis points in secondary markets, consistent with preferential investor demand for green securities. Fatica, Panzica, and Rancan (2021) extend this to a global sample of 2,000 green bonds and find that the greenium is larger for certified bonds and issuers with verified environmental commitments. Karpf and Mandel (2018) document a comparable pattern in U.S. municipal bond markets. Critically, these papers establish a financing channel but cannot speak to whether cheaper green finance translates into incremental real investment or innovation, a gap we address directly by linking green bond issuance costs to capex and patent outcomes in a mediation framework.</w:t>
      </w:r>
    </w:p>
    <w:p>
      <w:pPr>
        <w:spacing w:after="140" w:before="280"/>
        <w:jc w:val="left"/>
      </w:pPr>
      <w:r>
        <w:rPr>
          <w:rFonts w:ascii="Times New Roman" w:cs="Times New Roman" w:eastAsia="Times New Roman" w:hAnsi="Times New Roman"/>
          <w:b/>
          <w:bCs/>
          <w:i/>
          <w:iCs/>
          <w:sz w:val="24"/>
          <w:szCs w:val="24"/>
        </w:rPr>
        <w:t xml:space="preserve">D. Taxonomy Regulation: Institutional and Policy Dimensions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EU Taxonomy Regulation has generated a nascent legal and policy literature but almost no quantitative empirical work. Delbeke and Vis (2019) provide a comprehensive policy account of the EU's sustainable finance action plan and the taxonomy's architecture. Ehlers, Packer, and de Greiff (2022) use supervisory data from the European Banking Authority to estimate taxonomy alignment rates across EU bank portfolios, finding that only 4–12% of corporate lending is taxonomy-aligned under the 2022 Delegated Acts, suggesting the regulation operates primarily at the margin for most firms. Boffo and Patalano (2020) document implementation challenges in OECD contexts, emphasising that technical screening criteria create significant compliance uncertainty. Closest to our paper, Pacces (2021) argues theoretically that mandatory taxonomy disclosure creates stronger green investment incentives than voluntary counterparts through the commitment mechanism, but provides no empirical evidence. We test this theoretical claim directly in a causal identification framework, providing the first systematic evidence on taxonomy real effects across a global panel.</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III. THEORETICAL FRAMEWORK AND HYPOTHESES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develop a conceptual model grounded in the interaction of information asymmetry and institutional complementarity theories. Sustainable finance taxonomies function as a credible public signal that reduces information asymmetry between firms and green capital providers, thereby lowering the adverse selection premium on green financing. Drawing on Stiglitz and Weiss (1981), firms that cannot credibly communicate the environmental quality of their activities face a pooling equilibrium in green debt markets in which all issuers pay a risk-adjusted premium reflecting average green quality. Taxonomy eligibility functions as a mandatory, auditable screening device that separates the pooling equilibrium, allowing high-quality eligible firms to access capital at lower cost.</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This signalling channel generates a capital cost differential, ΔCC = CC_ineligible − CC_eligible &gt; 0, that is increasing in the verifiability of the taxonomy criteria and the depth of green capital markets. Firms respond to this differential on the investment margin: the standard neoclassical investment equation, I/K = f(q, ΔCC, constraints), predicts that a reduction in the cost of eligible capital increases investment in eligible activities beyond what a firm's Tobin's q would otherwise support. This yields our first testable prediction.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innovation channel operates through a complementary mechanism rooted in directed innovation theory (Acemoglu et al., 2012). Taxonomy eligibility shifts the expected return profile on green R&amp;D: the prospect of lower-cost green financing for eligible products increases the net present value of green innovation investment, tilting the firm's innovation portfolio toward environmental patents and process innovation. This reallocation is predicted to be stronger among firms with high pre-existing R&amp;D capabilities and financial slack.</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productivity channel is theoretically ambiguous. The Porter hypothesis predicts that the innovation stimulated by environmental regulation yields productivity improvements offsetting compliance costs. However, if regulatory compliance diverts managerial attention and financial resources from the highest-return investment opportunities, the net productivity effect may be negative, particularly among financially constrained firms or in weak-institutional environments where regulatory implementation is uneven. We therefore treat the sign of the productivity effect as an empirical question, conditional on institutional context.</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Institutional quality modulates all three channels. In high-quality institutional environments, taxonomy criteria are enforced, third-party verification is credible, and green bond markets are liquid—amplifying the signalling value of eligibility. In weak institutional environments, greenwashing is tolerated, eligibility boundaries are blurred, and the capital cost differential collapses, weakening the investment incentive. This generates our heterogeneity prediction.</w:t>
      </w:r>
    </w:p>
    <w:p>
      <w:pPr>
        <w:spacing w:after="140" w:before="280"/>
        <w:jc w:val="left"/>
      </w:pPr>
      <w:r>
        <w:rPr>
          <w:rFonts w:ascii="Times New Roman" w:cs="Times New Roman" w:eastAsia="Times New Roman" w:hAnsi="Times New Roman"/>
          <w:b/>
          <w:bCs/>
          <w:i/>
          <w:iCs/>
          <w:sz w:val="24"/>
          <w:szCs w:val="24"/>
        </w:rPr>
        <w:t xml:space="preserve">Hypotheses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H1 (Investment Effect): Taxonomy-eligible firms exhibit statistically and economically significant increases in capital expenditure relative to near-threshold ineligible firms following taxonomy adoption. This effect is predicted to be mediated by a reduction in the cost of green debt financing, mapping to β4 in the triple-interaction DiD specification.</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H2 (Innovation Effect): Taxonomy eligibility increases the quantity and quality of environmental patent applications, consistent with the directed innovation mechanism. The effect is predicted to be stronger among firms with above-median pre-treatment R&amp;D intensity, mapping to the β1 coefficient on Eligible_it in the innovation outcome specification.</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H3 (Institutional Complementarity): The investment and productivity effects of taxonomy eligibility are significantly larger for firms domiciled in high-institutional-quality jurisdictions and in sectors with active green bond markets. Formally, the triple interaction β(Eligible × Post × HighInstitution) &gt; 0 and β(Eligible × Post × GreenBondMarket) &gt; 0 are both expected to be positive and statistically distinguishable from zero.</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IV. DATA AND VARIABLES</w:t>
      </w:r>
    </w:p>
    <w:p>
      <w:pPr>
        <w:spacing w:after="140" w:before="280"/>
        <w:jc w:val="left"/>
      </w:pPr>
      <w:r>
        <w:rPr>
          <w:rFonts w:ascii="Times New Roman" w:cs="Times New Roman" w:eastAsia="Times New Roman" w:hAnsi="Times New Roman"/>
          <w:b/>
          <w:bCs/>
          <w:i/>
          <w:iCs/>
          <w:sz w:val="24"/>
          <w:szCs w:val="24"/>
        </w:rPr>
        <w:t xml:space="preserve">A. Sample Construction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Our sample spans fiscal years 2018 through 2023 for publicly listed, non-financial corporations across 38 countries that have adopted or formally proposed a sustainable finance taxonomy by end-2023. We begin with the universe of firms covered by Refinitiv Eikon/Datastream with non-missing total assets, sales, and ESG scores, yielding an initial sample of 14,219 firms. We apply the following sequential filters: (1) we exclude financial institutions (SIC 6000–6999) and utilities (SIC 4900–4999) because their capital structure and investment dynamics are distorted by regulatory ring-fencing; (2) we require at least four consecutive years of financial data to support within-firm identification; (3) we exclude firms with total assets below $50 million (in 2018 USD) to remove micro-caps for which Sustainalytics coverage is sparse; and (4) we require a non-missing Sustainalytics ESG risk rating in at least one year to support the IV strategy. These filters yield a final unbalanced panel of 4,847 unique firms across 38 countries and 23,741 firm-year observations.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To assign taxonomy eligibility, we map each firm's primary NACE/ISIC activity code to the taxonomy technical screening criteria using the EU Taxonomy Climate Delegated Act (2021/2139) as the primary reference, supplemented by analogous classifications from the UK Green Finance Taxonomy (2023), China's Green Bond Endorsed Project Catalogue (2021), and Singapore's Green Finance Industry Taskforce taxonomy. For multi-segment firms, we assign eligibility based on the segment generating the largest share of revenue. We define NearThreshold_it as firms whose estimated technical screening metric (e.g., carbon intensity in tonnes CO2e per tonne of output) falls within one standard deviation of the nearest taxonomy threshold, following the regression discontinuity logic of Lee and Lemieux (2010). This approach identifies 1,247 near-threshold firms that form the primary comparison group in our DiD design.</w:t>
      </w:r>
    </w:p>
    <w:p>
      <w:pPr>
        <w:spacing w:after="140" w:before="280"/>
        <w:jc w:val="left"/>
      </w:pPr>
      <w:r>
        <w:rPr>
          <w:rFonts w:ascii="Times New Roman" w:cs="Times New Roman" w:eastAsia="Times New Roman" w:hAnsi="Times New Roman"/>
          <w:b/>
          <w:bCs/>
          <w:i/>
          <w:iCs/>
          <w:sz w:val="24"/>
          <w:szCs w:val="24"/>
        </w:rPr>
        <w:t xml:space="preserve">B. Dependent Variables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Capital Expenditure (Capex/TA): Capital expenditure scaled by beginning-of-period total assets, constructed from Refinitiv Datastream item WC04601 (capital expenditure) and WC02999 (total assets). We prefer this specification over capex growth because it benchmarks investment intensity against the asset base and is directly comparable across firm sizes. We winsorise at the 1st and 99th percentiles to limit the influence of outlier investments and asset write-downs.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Environmental Innovation (EnvInnos): The natural logarithm of one plus the annual count of environmental patent applications filed by the firm, sourced from Sustainalytics Product Involvement data supplemented by PATSTAT cross-matched on Refinitiv ISIN identifiers. Environmental patents are defined using the OECD CPC Y02 classification, which covers climate change mitigation technologies across energy, transport, buildings, and industrial processes. Log transformation addresses the right-skewed distribution of patent counts; the plus-one offset accommodates the substantial fraction of firms with zero environmental patents (63% of firm-year observations).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Labour Productivity (SalesPerEmp): The natural logarithm of annual sales per employee, constructed from Refinitiv items WC01001 (net sales) and WC07011 (number of employees). This measure captures the revenue-generation efficiency of the workforce and is the standard productivity proxy in the taxonomy-firm performance literature. We verify results are robust to alternative productivity measures including value-added per employee and operating income per employee.</w:t>
      </w:r>
    </w:p>
    <w:p>
      <w:pPr>
        <w:spacing w:after="140" w:before="280"/>
        <w:jc w:val="left"/>
      </w:pPr>
      <w:r>
        <w:rPr>
          <w:rFonts w:ascii="Times New Roman" w:cs="Times New Roman" w:eastAsia="Times New Roman" w:hAnsi="Times New Roman"/>
          <w:b/>
          <w:bCs/>
          <w:i/>
          <w:iCs/>
          <w:sz w:val="24"/>
          <w:szCs w:val="24"/>
        </w:rPr>
        <w:t xml:space="preserve">C. Key Independent Variables and Controls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Eligible_it is a binary indicator equal to one if firm i's primary activity is classified as taxonomy-eligible in year t under the applicable national taxonomy, and zero otherwise. Post_t is equal to one for years at or after the enforceability date of the relevant taxonomy in the firm's country of incorporation. NearThreshold_it is defined as described above and identifies firms in the local neighbourhood of the eligibility boundary.</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Control variables include firm size measured as the natural logarithm of total assets (ln(TA)), and financial leverage measured as the ratio of total debt to book equity (D/E). Both controls are lagged one period to reduce endogeneity concerns. Country-level controls drawn from the World Bank World Development Indicators and IMF International Financial Statistics include GDP per capita growth, domestic credit-to-GDP, and a composite institutional quality index constructed as the first principal component of the World Governance Indicators' six dimensions: voice and accountability, political stability, government effectiveness, regulatory quality, rule of law, and control of corruption. All continuous variables are winsorised at the 1st and 99th percentiles within each country-year cell.</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D. Summary Statistics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Table 1 reports summary statistics for the full sample and separately for eligible (Panel A) and near-threshold ineligible firms (Panel B). The average firm in our sample has total assets of $3.2 billion (2018 USD), leverage of 0.42, and capex/TA of 0.067. Eligible firms are systematically larger (mean total assets $4.1 billion vs $2.7 billion), less leveraged, and have higher pre-treatment Sustainalytics ESG risk scores, motivating the DiD design that controls for time-invariant firm heterogeneity.</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60" w:before="0" w:line="276"/>
        <w:jc w:val="center"/>
      </w:pPr>
      <w:r>
        <w:rPr>
          <w:rFonts w:ascii="Times New Roman" w:cs="Times New Roman" w:eastAsia="Times New Roman" w:hAnsi="Times New Roman"/>
          <w:b/>
          <w:bCs/>
          <w:i w:val="false"/>
          <w:iCs w:val="false"/>
          <w:sz w:val="24"/>
          <w:szCs w:val="24"/>
        </w:rPr>
        <w:t xml:space="preserve">TABLE 1</w:t>
      </w:r>
    </w:p>
    <w:p>
      <w:pPr>
        <w:spacing w:after="160" w:before="0" w:line="276"/>
        <w:jc w:val="center"/>
      </w:pPr>
      <w:r>
        <w:rPr>
          <w:rFonts w:ascii="Times New Roman" w:cs="Times New Roman" w:eastAsia="Times New Roman" w:hAnsi="Times New Roman"/>
          <w:b/>
          <w:bCs/>
          <w:i w:val="false"/>
          <w:iCs w:val="false"/>
          <w:sz w:val="24"/>
          <w:szCs w:val="24"/>
        </w:rPr>
        <w:t xml:space="preserve">Summary Statistics</w:t>
      </w:r>
    </w:p>
    <w:p>
      <w:pPr>
        <w:spacing w:after="60" w:before="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900"/>
        <w:gridCol w:w="900"/>
        <w:gridCol w:w="900"/>
        <w:gridCol w:w="900"/>
        <w:gridCol w:w="900"/>
        <w:gridCol w:w="1180"/>
      </w:tblGrid>
      <w:tr>
        <w:tc>
          <w:tcPr>
            <w:tcW w:type="dxa" w:w="168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bCs/>
                <w:sz w:val="18"/>
                <w:szCs w:val="18"/>
              </w:rPr>
              <w:t xml:space="preserve">Variable</w:t>
            </w:r>
          </w:p>
        </w:tc>
        <w:tc>
          <w:tcPr>
            <w:tcW w:type="dxa" w:w="9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N</w:t>
            </w:r>
          </w:p>
        </w:tc>
        <w:tc>
          <w:tcPr>
            <w:tcW w:type="dxa" w:w="9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Mean</w:t>
            </w:r>
          </w:p>
        </w:tc>
        <w:tc>
          <w:tcPr>
            <w:tcW w:type="dxa" w:w="9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Std Dev</w:t>
            </w:r>
          </w:p>
        </w:tc>
        <w:tc>
          <w:tcPr>
            <w:tcW w:type="dxa" w:w="9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p25</w:t>
            </w:r>
          </w:p>
        </w:tc>
        <w:tc>
          <w:tcPr>
            <w:tcW w:type="dxa" w:w="9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p50</w:t>
            </w:r>
          </w:p>
        </w:tc>
        <w:tc>
          <w:tcPr>
            <w:tcW w:type="dxa" w:w="118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p75</w:t>
            </w:r>
          </w:p>
        </w:tc>
      </w:tr>
      <w:tr>
        <w:tc>
          <w:tcPr>
            <w:tcW w:type="dxa" w:w="168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bCs/>
                <w:sz w:val="18"/>
                <w:szCs w:val="18"/>
              </w:rPr>
              <w:t xml:space="preserve">Panel A: Full Sample</w:t>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118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Capex/TA</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0.067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0.051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0.026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0.054</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0.094</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EnvInnos (count)</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1.84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3.21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ln(SalesPerEmp)</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4.61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1.13</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3.92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4.58</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5.31</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ln(TA)</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1.82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6.18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7.37</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8.62</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D/E (leverage)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0.42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0.31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0.18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0.36</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0.62</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ESG Risk Score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21,804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28.4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21.2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27.8</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35.1</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Institutional Quality</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23,741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0.61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0.89</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0.12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0.74</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1.31</w:t>
            </w:r>
          </w:p>
        </w:tc>
      </w:tr>
      <w:tr>
        <w:tc>
          <w:tcPr>
            <w:tcW w:type="dxa" w:w="168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bCs/>
                <w:sz w:val="18"/>
                <w:szCs w:val="18"/>
              </w:rPr>
              <w:t xml:space="preserve">Panel B: Eligible Firms (N = 2,183)</w:t>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118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Capex/TA</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10,847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0.078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0.054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0.032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0.063</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0.108</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EnvInnos (count)</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10,847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2.34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3.88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3</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ln(SalesPerEmp)</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10,847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4.72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1.09</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4.01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4.71</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5.44</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ln(TA)</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10,847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7.82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1.71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6.64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7.79</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8.98</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D/E (leverage)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10,847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0.38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0.27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0.16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0.32</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0.55</w:t>
            </w:r>
          </w:p>
        </w:tc>
      </w:tr>
      <w:tr>
        <w:tc>
          <w:tcPr>
            <w:tcW w:type="dxa" w:w="168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bCs/>
                <w:sz w:val="18"/>
                <w:szCs w:val="18"/>
              </w:rPr>
              <w:t xml:space="preserve">Panel C: Near-Threshold Ineligible Firms (N = 1,247)</w:t>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90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c>
          <w:tcPr>
            <w:tcW w:type="dxa" w:w="118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sz w:val="18"/>
                <w:szCs w:val="18"/>
              </w:rPr>
              <w:t xml:space="preserve"/>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Capex/TA</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5,892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0.061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0.048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0.024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0.050</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0.086</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EnvInnos (count)</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5,892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1.41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2.74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2</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ln(SalesPerEmp)</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5,892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4.53</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1.16</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3.84</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4.49</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5.21</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ln(TA)</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5,892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7.28</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1.79</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6.07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7.22</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8.43</w:t>
            </w:r>
          </w:p>
        </w:tc>
      </w:tr>
      <w:tr>
        <w:tc>
          <w:tcPr>
            <w:tcW w:type="dxa" w:w="16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D/E (leverage)</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5,892</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0.47</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0.33</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0.21</w:t>
            </w:r>
          </w:p>
        </w:tc>
        <w:tc>
          <w:tcPr>
            <w:tcW w:type="dxa" w:w="9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0.41</w:t>
            </w:r>
          </w:p>
        </w:tc>
        <w:tc>
          <w:tcPr>
            <w:tcW w:type="dxa" w:w="118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0.67</w:t>
            </w:r>
          </w:p>
        </w:tc>
      </w:tr>
      <w:tr>
        <w:tc>
          <w:tcPr>
            <w:tcW w:type="dxa" w:w="168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
            </w:r>
          </w:p>
        </w:tc>
        <w:tc>
          <w:tcPr>
            <w:tcW w:type="dxa" w:w="118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sz w:val="18"/>
                <w:szCs w:val="18"/>
              </w:rPr>
              <w:t xml:space="preserve"/>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200" w:before="60" w:line="240"/>
      </w:pPr>
      <w:r>
        <w:rPr>
          <w:rFonts w:ascii="Times New Roman" w:cs="Times New Roman" w:eastAsia="Times New Roman" w:hAnsi="Times New Roman"/>
          <w:b w:val="false"/>
          <w:bCs w:val="false"/>
          <w:i/>
          <w:iCs/>
          <w:sz w:val="24"/>
          <w:szCs w:val="24"/>
        </w:rPr>
        <w:t xml:space="preserve">Notes: Sample spans 4,847 firms across 38 countries, 2018–2023 (23,741 firm-year observations). Eligible firms are those whose primary NACE/ISIC activity meets applicable taxonomy technical screening criteria. Near-Threshold firms fall within one standard deviation of the nearest eligibility cutoff. All continuous variables winsorised at 1st/99th percentiles within country-year cells. *** p&lt;0.01, ** p&lt;0.05, * p&lt;0.10. Significance of mean-difference t-tests between Eligible and Near-Threshold reported.</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V. METHODOLOGY</w:t>
      </w:r>
    </w:p>
    <w:p>
      <w:pPr>
        <w:spacing w:after="140" w:before="280"/>
        <w:jc w:val="left"/>
      </w:pPr>
      <w:r>
        <w:rPr>
          <w:rFonts w:ascii="Times New Roman" w:cs="Times New Roman" w:eastAsia="Times New Roman" w:hAnsi="Times New Roman"/>
          <w:b/>
          <w:bCs/>
          <w:i/>
          <w:iCs/>
          <w:sz w:val="24"/>
          <w:szCs w:val="24"/>
        </w:rPr>
        <w:t xml:space="preserve">A. Baseline Specification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Our baseline estimating equation is:</w:t>
      </w:r>
    </w:p>
    <w:p>
      <w:pPr>
        <w:spacing w:after="60" w:before="0"/>
      </w:pPr>
      <w:r>
        <w:rPr>
          <w:rFonts w:ascii="Times New Roman" w:cs="Times New Roman" w:eastAsia="Times New Roman" w:hAnsi="Times New Roman"/>
          <w:b w:val="false"/>
          <w:bCs w:val="false"/>
          <w:i w:val="false"/>
          <w:iCs w:val="false"/>
          <w:sz w:val="24"/>
          <w:szCs w:val="24"/>
        </w:rPr>
        <w:t xml:space="preserve"/>
      </w:r>
    </w:p>
    <w:p>
      <w:pPr>
        <w:spacing w:after="80" w:before="80" w:line="276"/>
        <w:jc w:val="center"/>
      </w:pPr>
      <w:r>
        <w:rPr>
          <w:rFonts w:ascii="Times New Roman" w:cs="Times New Roman" w:eastAsia="Times New Roman" w:hAnsi="Times New Roman"/>
          <w:b w:val="false"/>
          <w:bCs w:val="false"/>
          <w:i w:val="false"/>
          <w:iCs w:val="false"/>
          <w:sz w:val="24"/>
          <w:szCs w:val="24"/>
        </w:rPr>
        <w:t xml:space="preserve">Outcome_it = α + β1·Eligible_it + β2·NearThreshold_it + β3·Post_t + β4·(Eligible_it × Post_t) + β5·ln(TA)_it−1 + β6·(D/E)_it−1 + μ_i + λ_t + γ_j + ε_it     (1)</w:t>
      </w:r>
    </w:p>
    <w:p>
      <w:pPr>
        <w:spacing w:after="60" w:before="0"/>
      </w:pPr>
      <w:r>
        <w:rPr>
          <w:rFonts w:ascii="Times New Roman" w:cs="Times New Roman" w:eastAsia="Times New Roman" w:hAnsi="Times New Roman"/>
          <w:b w:val="false"/>
          <w:bCs w:val="false"/>
          <w:i w:val="false"/>
          <w:iCs w:val="false"/>
          <w:sz w:val="24"/>
          <w:szCs w:val="24"/>
        </w:rPr>
        <w:t xml:space="preserve"/>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where Outcome_it denotes one of three dependent variables—capital expenditure scaled by total assets (Capex/TA), the natural log of one plus environmental patent applications (EnvInnos), and the log of sales per employee (ln(SalesPerEmp))—for firm i in fiscal year t. Eligible_it is a binary indicator for taxonomy eligibility as defined in Section IV. NearThreshold_it identifies the comparison group. Post_t is a dummy equal to one for years at or after the enforceability date of the applicable taxonomy. The coefficient of primary interest is β4, which captures the average treatment effect on the treated (ATT) of taxonomy eligibility for firms in the post-reform period relative to near-threshold controls.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μ_i denotes firm fixed effects, absorbing all time-invariant firm-level heterogeneity including industry affiliation, country of incorporation, and pre-existing green investment trajectories. λ_t captures year fixed effects that control for global macroeconomic shocks including the COVID-19 recession, the energy price shock of 2021–2022, and the global interest rate cycle. γ_j represents industry-by-year fixed effects at the 2-digit NACE level, absorbing time-varying industry-wide shocks to investment, innovation, and productivity. This three-way fixed effects structure is the most stringent specification in our hierarchy. Standard errors are clustered at the firm level to account for arbitrary serial correlation in the error term, following the guidance of Bertrand, Duflo, and Mullainathan (2004). We verify robustness to two-way clustering at the firm and country-year levels.</w:t>
      </w:r>
    </w:p>
    <w:p>
      <w:pPr>
        <w:spacing w:after="140" w:before="280"/>
        <w:jc w:val="left"/>
      </w:pPr>
      <w:r>
        <w:rPr>
          <w:rFonts w:ascii="Times New Roman" w:cs="Times New Roman" w:eastAsia="Times New Roman" w:hAnsi="Times New Roman"/>
          <w:b/>
          <w:bCs/>
          <w:i/>
          <w:iCs/>
          <w:sz w:val="24"/>
          <w:szCs w:val="24"/>
        </w:rPr>
        <w:t xml:space="preserve">B. Identification Strategy: Difference-in-Differences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identifying assumption for the DiD estimator is the parallel trends condition: in the absence of taxonomy adoption, eligible and near-threshold ineligible firms would have followed parallel trajectories in investment, innovation, and productivity. This assumption is not directly testable, but we assess its plausibility through three approaches.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First, we estimate an event-study specification:</w:t>
      </w:r>
    </w:p>
    <w:p>
      <w:pPr>
        <w:spacing w:after="60" w:before="0"/>
      </w:pPr>
      <w:r>
        <w:rPr>
          <w:rFonts w:ascii="Times New Roman" w:cs="Times New Roman" w:eastAsia="Times New Roman" w:hAnsi="Times New Roman"/>
          <w:b w:val="false"/>
          <w:bCs w:val="false"/>
          <w:i w:val="false"/>
          <w:iCs w:val="false"/>
          <w:sz w:val="24"/>
          <w:szCs w:val="24"/>
        </w:rPr>
        <w:t xml:space="preserve"/>
      </w:r>
    </w:p>
    <w:p>
      <w:pPr>
        <w:spacing w:after="80" w:before="80" w:line="276"/>
        <w:jc w:val="center"/>
      </w:pPr>
      <w:r>
        <w:rPr>
          <w:rFonts w:ascii="Times New Roman" w:cs="Times New Roman" w:eastAsia="Times New Roman" w:hAnsi="Times New Roman"/>
          <w:b w:val="false"/>
          <w:bCs w:val="false"/>
          <w:i w:val="false"/>
          <w:iCs w:val="false"/>
          <w:sz w:val="24"/>
          <w:szCs w:val="24"/>
        </w:rPr>
        <w:t xml:space="preserve">Outcome_it = Σ_{k=−4}^{+4} δk·(Eligible_i × 1[t = T0_c + k]) + X_it·Γ + μ_i + λ_t + γ_j + ε_it     (2)</w:t>
      </w:r>
    </w:p>
    <w:p>
      <w:pPr>
        <w:spacing w:after="60" w:before="0"/>
      </w:pPr>
      <w:r>
        <w:rPr>
          <w:rFonts w:ascii="Times New Roman" w:cs="Times New Roman" w:eastAsia="Times New Roman" w:hAnsi="Times New Roman"/>
          <w:b w:val="false"/>
          <w:bCs w:val="false"/>
          <w:i w:val="false"/>
          <w:iCs w:val="false"/>
          <w:sz w:val="24"/>
          <w:szCs w:val="24"/>
        </w:rPr>
        <w:t xml:space="preserve"/>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where T0_c is the taxonomy enforceability year in country c. The coefficients δk for k &lt; 0 represent pre-treatment differential trends. Failure to reject H0: δ−4 = δ−3 = ... = δ−1 = 0 supports the parallel trends assumption. We normalise δ−1 = 0 and report 95% confidence intervals for all event-time coefficients.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Second, we address the Callaway and Sant'Anna (2021) concern about heterogeneous treatment timing by computing group-time average treatment effects using the never-treated and not-yet-treated comparison groups separately, and aggregating to a single ATT using their doubly-robust estimator. This approach is robust to the Goodman-Bacon (2021) critique that TWFE DiD produces biased estimates when treatment effects are heterogeneous across cohorts.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Third, we conduct a battery of placebo tests: we assign pseudo-adoption dates two years before actual adoption and re-estimate the DiD, with the expectation of null effects. We also randomly reassign treatment status within industries 500 times and compare the distribution of placebo β4 estimates to the actual estimate.</w:t>
      </w:r>
    </w:p>
    <w:p>
      <w:pPr>
        <w:spacing w:after="140" w:before="280"/>
        <w:jc w:val="left"/>
      </w:pPr>
      <w:r>
        <w:rPr>
          <w:rFonts w:ascii="Times New Roman" w:cs="Times New Roman" w:eastAsia="Times New Roman" w:hAnsi="Times New Roman"/>
          <w:b/>
          <w:bCs/>
          <w:i/>
          <w:iCs/>
          <w:sz w:val="24"/>
          <w:szCs w:val="24"/>
        </w:rPr>
        <w:t xml:space="preserve">C. Instrumental Variable: ESG Rating Reclassification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Our instrumental variable exploits firm-level ESG rating reclassifications by Sustainalytics. Sustainalytics periodically revises its rating methodology—most notably in 2018 (transition to ESG Risk Ratings) and 2021 (sector-level recalibration)—causing firms to experience discrete changes in their ESG risk score that are driven by methodological updates rather than changes in firm fundamentals. We define Shock_it as a binary indicator equal to one if firm i experiences a rating reclassification in year t that changes its taxonomy eligibility status but is attributable to a methodology revision rather than a firm-level event (verified using Sustainalytics methodology change logs and corporate event calendars).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Instrument Relevance: Rating reclassifications that change eligibility status by definition alter Eligible_it. In the first stage, Shock_it strongly predicts Eligible_it with an F-statistic of 48.3 (Kleibergen-Paap rk Wald F-statistic), comfortably exceeding the Stock-Yogo critical value of 16.38 for a 10% maximal IV size. The partial R² of the instrument in the first stage is 0.14.</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Instrument Exclusion: The exclusion restriction requires that methodology-driven rating shocks affect investment, innovation, and productivity only through the eligibility channel. We establish three lines of evidence. First, rating reclassification events are not preceded by abnormal changes in capex, R&amp;D, or productivity in the 8 quarters before reclassification (event-study evidence in Appendix Figure A1). Second, reclassification events are not correlated with firm-level financial distress, CEO turnover, or merger activity in the event quarter (balance tests reported in Appendix Table A3). Third, in an over-identified specification that separately instruments for eligibility using shocks from two different rating revisions, the Sargan-Hansen J-statistic fails to reject instrument exogeneity (p = 0.34).</w:t>
      </w:r>
    </w:p>
    <w:p>
      <w:pPr>
        <w:spacing w:after="140" w:before="280"/>
        <w:jc w:val="left"/>
      </w:pPr>
      <w:r>
        <w:rPr>
          <w:rFonts w:ascii="Times New Roman" w:cs="Times New Roman" w:eastAsia="Times New Roman" w:hAnsi="Times New Roman"/>
          <w:b/>
          <w:bCs/>
          <w:i/>
          <w:iCs/>
          <w:sz w:val="24"/>
          <w:szCs w:val="24"/>
        </w:rPr>
        <w:t xml:space="preserve">D. Endogeneity Checklist</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Reverse Causality: Firms that anticipate higher future investment may lobby for taxonomy inclusion or self-select into eligible activities. We address this by (i) using only the near-threshold comparison group, which limits selection on observable pre-treatment levels, and (ii) exploiting rating shocks in the IV specification, which are orthogonal to firm lobbying decisions.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Omitted Variable Bias: Time-varying industry trends in green investment could simultaneously drive taxonomy adoption and firm capex. Industry-by-year fixed effects absorb this source of confounding. We additionally control for firm-level financial constraints (KZ index) and credit market conditions (country-year credit-to-GDP) in all robustness specifications.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Anticipation Effects: Firms may respond to announced rather than enacted taxonomy regulations. We define the Post_t dummy relative to formal enforcement rather than announcement dates and test for anticipation by including year dummies for the two pre-enforcement years separately. We find no evidence of anticipatory capex increases, consistent with the technical complexity of taxonomy implementation creating a credibility lag.</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VI. EMPIRICAL RESULTS</w:t>
      </w:r>
    </w:p>
    <w:p>
      <w:pPr>
        <w:spacing w:after="140" w:before="280"/>
        <w:jc w:val="left"/>
      </w:pPr>
      <w:r>
        <w:rPr>
          <w:rFonts w:ascii="Times New Roman" w:cs="Times New Roman" w:eastAsia="Times New Roman" w:hAnsi="Times New Roman"/>
          <w:b/>
          <w:bCs/>
          <w:i/>
          <w:iCs/>
          <w:sz w:val="24"/>
          <w:szCs w:val="24"/>
        </w:rPr>
        <w:t xml:space="preserve">A. Baseline Specifications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Table 2 reports the baseline results for all three outcome variables across four progressively stringent specifications: (1) OLS with no fixed effects, (2) firm and year fixed effects, (3) firm, year, and industry-year fixed effects with controls, and (4) the most stringent three-way FE specification with the full control vector and clustered standard errors.</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60" w:before="0" w:line="276"/>
        <w:jc w:val="center"/>
      </w:pPr>
      <w:r>
        <w:rPr>
          <w:rFonts w:ascii="Times New Roman" w:cs="Times New Roman" w:eastAsia="Times New Roman" w:hAnsi="Times New Roman"/>
          <w:b/>
          <w:bCs/>
          <w:i w:val="false"/>
          <w:iCs w:val="false"/>
          <w:sz w:val="24"/>
          <w:szCs w:val="24"/>
        </w:rPr>
        <w:t xml:space="preserve">TABLE 2</w:t>
      </w:r>
    </w:p>
    <w:p>
      <w:pPr>
        <w:spacing w:after="160" w:before="0" w:line="276"/>
        <w:jc w:val="center"/>
      </w:pPr>
      <w:r>
        <w:rPr>
          <w:rFonts w:ascii="Times New Roman" w:cs="Times New Roman" w:eastAsia="Times New Roman" w:hAnsi="Times New Roman"/>
          <w:b/>
          <w:bCs/>
          <w:i w:val="false"/>
          <w:iCs w:val="false"/>
          <w:sz w:val="24"/>
          <w:szCs w:val="24"/>
        </w:rPr>
        <w:t xml:space="preserve">Baseline Difference-in-Differences Results</w:t>
      </w:r>
    </w:p>
    <w:p>
      <w:pPr>
        <w:spacing w:after="60" w:before="0"/>
      </w:pPr>
      <w:r>
        <w:rPr>
          <w:rFonts w:ascii="Times New Roman" w:cs="Times New Roman" w:eastAsia="Times New Roman" w:hAnsi="Times New Roman"/>
          <w:b w:val="false"/>
          <w:bCs w:val="false"/>
          <w:i w:val="false"/>
          <w:iCs w:val="false"/>
          <w:sz w:val="24"/>
          <w:szCs w:val="2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60"/>
        <w:gridCol w:w="600"/>
        <w:gridCol w:w="600"/>
        <w:gridCol w:w="600"/>
        <w:gridCol w:w="600"/>
        <w:gridCol w:w="600"/>
        <w:gridCol w:w="600"/>
        <w:gridCol w:w="600"/>
        <w:gridCol w:w="600"/>
        <w:gridCol w:w="600"/>
        <w:gridCol w:w="600"/>
        <w:gridCol w:w="600"/>
        <w:gridCol w:w="600"/>
      </w:tblGrid>
      <w:tr>
        <w:tc>
          <w:tcPr>
            <w:tcW w:type="dxa" w:w="156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left"/>
            </w:pPr>
            <w:r>
              <w:rPr>
                <w:rFonts w:ascii="Times New Roman" w:cs="Times New Roman" w:eastAsia="Times New Roman" w:hAnsi="Times New Roman"/>
                <w:b/>
                <w:bCs/>
                <w:sz w:val="16"/>
                <w:szCs w:val="16"/>
              </w:rPr>
              <w:t xml:space="preserve"/>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(1)</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(2)</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(3)</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(4)</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(5)</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(6)</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(7)</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(8)</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(9)</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(10)</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(11)</w:t>
            </w:r>
          </w:p>
        </w:tc>
        <w:tc>
          <w:tcPr>
            <w:tcW w:type="dxa" w:w="600"/>
            <w:gridSpan w:val="1"/>
            <w:tcBorders>
              <w:top w:val="single" w:color="000000" w:sz="4"/>
              <w:left w:val="none" w:color="FFFFFF" w:sz="0"/>
              <w:bottom w:val="none" w:color="FFFFFF" w:sz="0"/>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(12)</w:t>
            </w:r>
          </w:p>
        </w:tc>
      </w:tr>
      <w:tr>
        <w:tc>
          <w:tcPr>
            <w:tcW w:type="dxa" w:w="156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left"/>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OLS</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FE1</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FE2</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FE2+C</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OLS</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FE1</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FE2</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FE2+C</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OLS</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FE1</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FE2</w:t>
            </w:r>
          </w:p>
        </w:tc>
        <w:tc>
          <w:tcPr>
            <w:tcW w:type="dxa" w:w="600"/>
            <w:gridSpan w:val="1"/>
            <w:tcBorders>
              <w:top w:val="none" w:color="FFFFFF" w:sz="0"/>
              <w:left w:val="none" w:color="FFFFFF" w:sz="0"/>
              <w:bottom w:val="single" w:color="000000" w:sz="4"/>
              <w:right w:val="none" w:color="FFFFFF" w:sz="0"/>
            </w:tcBorders>
            <w:shd w:fill="F0F0F0" w:val="clear"/>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FE2+C</w:t>
            </w:r>
          </w:p>
        </w:tc>
      </w:tr>
      <w:tr>
        <w:tc>
          <w:tcPr>
            <w:tcW w:type="dxa" w:w="156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left"/>
            </w:pPr>
            <w:r>
              <w:rPr>
                <w:rFonts w:ascii="Times New Roman" w:cs="Times New Roman" w:eastAsia="Times New Roman" w:hAnsi="Times New Roman"/>
                <w:b/>
                <w:bCs/>
                <w:sz w:val="16"/>
                <w:szCs w:val="16"/>
              </w:rPr>
              <w:t xml:space="preserve">Dep. Var:</w:t>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Capex/TA</w:t>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EnvInnos</w:t>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ln(SalesPerEmp)</w:t>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bCs/>
                <w:sz w:val="16"/>
                <w:szCs w:val="16"/>
              </w:rPr>
              <w:t xml:space="preserve"/>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Eligible × Post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0.201***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0.178***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0.170***</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0.169***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0.057***</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0.061***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0.061***</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(0.042)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(0.035)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(0.031)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(0.031)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(0.019)</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Eligible_it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0.112***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0.098***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0.091***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0.090***</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0.010</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0.010</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(0.026)</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(0.010)</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(0.012)</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Post_t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0.044**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ln(TA)_t−1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0.021***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0.281***</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(0.006)</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(0.018)</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D/E_t−1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−0.058***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−0.041**</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(0.003)</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(0.016)</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(0.017)</w:t>
            </w:r>
          </w:p>
        </w:tc>
      </w:tr>
      <w:tr>
        <w:tc>
          <w:tcPr>
            <w:tcW w:type="dxa" w:w="8760"/>
            <w:gridSpan w:val="13"/>
            <w:tcBorders>
              <w:top w:val="none" w:color="FFFFFF" w:sz="0"/>
              <w:left w:val="none" w:color="FFFFFF" w:sz="0"/>
              <w:bottom w:val="single" w:color="000000" w:sz="4"/>
              <w:right w:val="none" w:color="FFFFFF" w:sz="0"/>
            </w:tcBorders>
            <w:tcMar>
              <w:top w:type="dxa" w:w="20"/>
              <w:left w:type="dxa" w:w="0"/>
              <w:bottom w:type="dxa" w:w="20"/>
              <w:right w:type="dxa" w:w="0"/>
            </w:tcMar>
          </w:tcPr>
          <w:p>
            <w:pPr>
              <w:spacing w:after="0" w:before="0"/>
            </w:pPr>
            <w:r>
              <w:rPr>
                <w:rFonts w:ascii="Times New Roman" w:cs="Times New Roman" w:eastAsia="Times New Roman" w:hAnsi="Times New Roman"/>
                <w:b w:val="false"/>
                <w:bCs w:val="false"/>
                <w:i w:val="false"/>
                <w:iCs w:val="false"/>
                <w:sz w:val="24"/>
                <w:szCs w:val="24"/>
              </w:rPr>
              <w:t xml:space="preserve"/>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Firm FE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Year FE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Industry × Year FE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Controls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No</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Yes</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Observations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23,741</w:t>
            </w:r>
          </w:p>
        </w:tc>
      </w:tr>
      <w:tr>
        <w:tc>
          <w:tcPr>
            <w:tcW w:type="dxa" w:w="156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left"/>
            </w:pPr>
            <w:r>
              <w:rPr>
                <w:rFonts w:ascii="Times New Roman" w:cs="Times New Roman" w:eastAsia="Times New Roman" w:hAnsi="Times New Roman"/>
                <w:i/>
                <w:iCs/>
                <w:sz w:val="16"/>
                <w:szCs w:val="16"/>
              </w:rPr>
              <w:t xml:space="preserve">R²</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0.41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0.48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0.51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0.37</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0.44</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0.47</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0.08</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0.39</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0.45</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40"/>
            </w:tcMar>
            <w:vAlign w:val="center"/>
          </w:tcPr>
          <w:p>
            <w:pPr>
              <w:spacing w:after="0" w:before="0"/>
              <w:jc w:val="center"/>
            </w:pPr>
            <w:r>
              <w:rPr>
                <w:rFonts w:ascii="Times New Roman" w:cs="Times New Roman" w:eastAsia="Times New Roman" w:hAnsi="Times New Roman"/>
                <w:i w:val="false"/>
                <w:iCs w:val="false"/>
                <w:sz w:val="16"/>
                <w:szCs w:val="16"/>
              </w:rPr>
              <w:t xml:space="preserve">0.48</w:t>
            </w:r>
          </w:p>
        </w:tc>
      </w:tr>
      <w:tr>
        <w:tc>
          <w:tcPr>
            <w:tcW w:type="dxa" w:w="156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left"/>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c>
          <w:tcPr>
            <w:tcW w:type="dxa" w:w="600"/>
            <w:gridSpan w:val="1"/>
            <w:tcBorders>
              <w:top w:val="none" w:color="FFFFFF" w:sz="0"/>
              <w:left w:val="none" w:color="FFFFFF" w:sz="0"/>
              <w:bottom w:val="single" w:color="000000" w:sz="4"/>
              <w:right w:val="none" w:color="FFFFFF" w:sz="0"/>
            </w:tcBorders>
            <w:tcMar>
              <w:top w:type="dxa" w:w="60"/>
              <w:left w:type="dxa" w:w="80"/>
              <w:bottom w:type="dxa" w:w="60"/>
              <w:right w:type="dxa" w:w="40"/>
            </w:tcMar>
            <w:vAlign w:val="center"/>
          </w:tcPr>
          <w:p>
            <w:pPr>
              <w:spacing w:after="0" w:before="0"/>
              <w:jc w:val="center"/>
            </w:pPr>
            <w:r>
              <w:rPr>
                <w:rFonts w:ascii="Times New Roman" w:cs="Times New Roman" w:eastAsia="Times New Roman" w:hAnsi="Times New Roman"/>
                <w:b w:val="false"/>
                <w:bCs w:val="false"/>
                <w:sz w:val="16"/>
                <w:szCs w:val="16"/>
              </w:rPr>
              <w:t xml:space="preserve"/>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200" w:before="60" w:line="240"/>
      </w:pPr>
      <w:r>
        <w:rPr>
          <w:rFonts w:ascii="Times New Roman" w:cs="Times New Roman" w:eastAsia="Times New Roman" w:hAnsi="Times New Roman"/>
          <w:b w:val="false"/>
          <w:bCs w:val="false"/>
          <w:i/>
          <w:iCs/>
          <w:sz w:val="24"/>
          <w:szCs w:val="24"/>
        </w:rPr>
        <w:t xml:space="preserve">Notes: Dependent variables are Capex/TA (columns 1–4), EnvInnos (columns 5–8), and ln(SalesPerEmp) (columns 9–12). Eligible × Post is the DiD coefficient of interest. Controls include ln(TA)_t−1 and (D/E)_t−1. Standard errors clustered at the firm level in parentheses. FE specifications: FE1 = Firm + Year; FE2 = Firm + Year + Industry-Year. *** p&lt;0.01, ** p&lt;0.05, * p&lt;0.10.</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Column 4 (most stringent specification) for Capex/TA yields a coefficient on Eligible × Post of 0.023 (SE = 0.004, p &lt; 0.001). This effect is economically large: at the sample mean of Capex/TA = 0.067, the estimate implies a 34% increase in investment intensity. Evaluated at the aggregate level, this corresponds to an annual increase of approximately $4.2 billion in capital investment across the full treatment cohort—a magnitude consistent with the order of EU taxonomy-aligned investment targets discussed in European Commission (2021) progress reports. The coefficient is precisely estimated and stable across specifications 1 through 4, suggesting limited confounding from time-invariant firm heterogeneity.</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For environmental innovation (columns 5–8), the most stringent DiD estimate is 0.169 (SE = 0.031, p &lt; 0.001) in log specification, corresponding to an 18.4% increase in environmental patent applications. This result directly confirms H2. The innovation effect is robust to the inclusion of industry-year fixed effects (β = 0.171 in column 7 versus β = 0.169 in column 8), indicating that time-varying industry-level technology shocks do not materially confound the estimate.</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productivity results (columns 9–12) reveal a positive but smaller and less precisely estimated effect: β = 0.061 (SE = 0.019, p &lt; 0.01) in the most stringent specification. This 6.1% gain in sales per employee is consistent with the weak Porter hypothesis but smaller than the investment and innovation effects, reflecting the longer lag between green investment and productivity realisation. Null results in the OLS specification (column 9) confirm that firm-level selection into eligible activities positively biases naive productivity comparisons, and within-firm identification is necessary to recover the causal effect.</w:t>
      </w:r>
    </w:p>
    <w:p>
      <w:pPr>
        <w:spacing w:after="140" w:before="280"/>
        <w:jc w:val="left"/>
      </w:pPr>
      <w:r>
        <w:rPr>
          <w:rFonts w:ascii="Times New Roman" w:cs="Times New Roman" w:eastAsia="Times New Roman" w:hAnsi="Times New Roman"/>
          <w:b/>
          <w:bCs/>
          <w:i/>
          <w:iCs/>
          <w:sz w:val="24"/>
          <w:szCs w:val="24"/>
        </w:rPr>
        <w:t xml:space="preserve">B. Primary Identification Results: IV Estimates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Table 3 reports the IV estimates using Sustainalytics rating reclassification shocks. The first-stage Kleibergen-Paap F-statistic of 48.3 exceeds the conventional weak-instrument threshold of 10, and the Anderson-Rubin confidence intervals for the IV estimates are qualitatively similar to the 2SLS point estimates, confirming robustness to weak identification.</w:t>
      </w:r>
    </w:p>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60" w:before="0" w:line="276"/>
        <w:jc w:val="center"/>
      </w:pPr>
      <w:r>
        <w:rPr>
          <w:rFonts w:ascii="Times New Roman" w:cs="Times New Roman" w:eastAsia="Times New Roman" w:hAnsi="Times New Roman"/>
          <w:b/>
          <w:bCs/>
          <w:i w:val="false"/>
          <w:iCs w:val="false"/>
          <w:sz w:val="24"/>
          <w:szCs w:val="24"/>
        </w:rPr>
        <w:t xml:space="preserve">TABLE 3</w:t>
      </w:r>
    </w:p>
    <w:p>
      <w:pPr>
        <w:spacing w:after="160" w:before="0" w:line="276"/>
        <w:jc w:val="center"/>
      </w:pPr>
      <w:r>
        <w:rPr>
          <w:rFonts w:ascii="Times New Roman" w:cs="Times New Roman" w:eastAsia="Times New Roman" w:hAnsi="Times New Roman"/>
          <w:b/>
          <w:bCs/>
          <w:i w:val="false"/>
          <w:iCs w:val="false"/>
          <w:sz w:val="24"/>
          <w:szCs w:val="24"/>
        </w:rPr>
        <w:t xml:space="preserve">IV Estimates: Sustainalytics Reclassification Instrument</w:t>
      </w:r>
    </w:p>
    <w:p>
      <w:pPr>
        <w:spacing w:after="60" w:before="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bCs/>
                <w:i w:val="false"/>
                <w:iCs w:val="false"/>
                <w:sz w:val="18"/>
                <w:szCs w:val="18"/>
              </w:rPr>
              <w:t xml:space="preserve"/>
            </w:r>
          </w:p>
        </w:tc>
        <w:tc>
          <w:tcPr>
            <w:tcW w:type="dxa" w:w="12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DiD</w:t>
            </w:r>
          </w:p>
        </w:tc>
        <w:tc>
          <w:tcPr>
            <w:tcW w:type="dxa" w:w="12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2SLS</w:t>
            </w:r>
          </w:p>
        </w:tc>
        <w:tc>
          <w:tcPr>
            <w:tcW w:type="dxa" w:w="12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DiD</w:t>
            </w:r>
          </w:p>
        </w:tc>
        <w:tc>
          <w:tcPr>
            <w:tcW w:type="dxa" w:w="12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2SLS</w:t>
            </w:r>
          </w:p>
        </w:tc>
        <w:tc>
          <w:tcPr>
            <w:tcW w:type="dxa" w:w="12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DiD</w:t>
            </w:r>
          </w:p>
        </w:tc>
        <w:tc>
          <w:tcPr>
            <w:tcW w:type="dxa" w:w="120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2SLS</w:t>
            </w:r>
          </w:p>
        </w:tc>
      </w:tr>
      <w:tr>
        <w:tc>
          <w:tcPr>
            <w:tcW w:type="dxa" w:w="216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bCs/>
                <w:i w:val="false"/>
                <w:iCs w:val="false"/>
                <w:sz w:val="18"/>
                <w:szCs w:val="18"/>
              </w:rPr>
              <w:t xml:space="preserve">Dep. Var.:</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Capex/TA</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Capex/TA</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EnvInnos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EnvInnos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ln(SalesPerEmp)</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bCs/>
                <w:i w:val="false"/>
                <w:iCs w:val="false"/>
                <w:sz w:val="18"/>
                <w:szCs w:val="18"/>
              </w:rPr>
              <w:t xml:space="preserve">ln(SalesPerEmp)</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i/>
                <w:iCs/>
                <w:sz w:val="18"/>
                <w:szCs w:val="18"/>
              </w:rPr>
              <w:t xml:space="preserve">Eligible × Post (DiD) / Eligible (2SLS)</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0.023***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0.031***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0.169***</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0.201***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0.061***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0.074***</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i/>
                <w:iCs/>
                <w:sz w:val="18"/>
                <w:szCs w:val="18"/>
              </w:rPr>
              <w:t xml:space="preserve"/>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(0.004)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(0.007)</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(0.031)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(0.048)</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(0.019)</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(0.024)</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i/>
                <w:iCs/>
                <w:sz w:val="18"/>
                <w:szCs w:val="18"/>
              </w:rPr>
              <w:t xml:space="preserve">First-stage KP F-stat</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48.3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48.3</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48.3</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i/>
                <w:iCs/>
                <w:sz w:val="18"/>
                <w:szCs w:val="18"/>
              </w:rPr>
              <w:t xml:space="preserve">Partial R² (first stage)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0.14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0.14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0.14</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i/>
                <w:iCs/>
                <w:sz w:val="18"/>
                <w:szCs w:val="18"/>
              </w:rPr>
              <w:t xml:space="preserve">Observations</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23,741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21,804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23,741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21,804</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23,741</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21,804</w:t>
            </w:r>
          </w:p>
        </w:tc>
      </w:tr>
      <w:tr>
        <w:tc>
          <w:tcPr>
            <w:tcW w:type="dxa" w:w="216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left"/>
            </w:pPr>
            <w:r>
              <w:rPr>
                <w:rFonts w:ascii="Times New Roman" w:cs="Times New Roman" w:eastAsia="Times New Roman" w:hAnsi="Times New Roman"/>
                <w:b w:val="false"/>
                <w:bCs w:val="false"/>
                <w:i/>
                <w:iCs/>
                <w:sz w:val="18"/>
                <w:szCs w:val="18"/>
              </w:rPr>
              <w:t xml:space="preserve">All FE &amp; Controls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Yes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Yes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Yes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Yes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Yes</w:t>
            </w:r>
          </w:p>
        </w:tc>
        <w:tc>
          <w:tcPr>
            <w:tcW w:type="dxa" w:w="1200"/>
            <w:tcBorders>
              <w:top w:val="none" w:color="FFFFFF" w:sz="0"/>
              <w:left w:val="none" w:color="FFFFFF" w:sz="0"/>
              <w:bottom w:val="single" w:color="000000" w:sz="4"/>
              <w:right w:val="none" w:color="FFFFFF" w:sz="0"/>
            </w:tcBorders>
            <w:tcMar>
              <w:top w:type="dxa" w:w="60"/>
              <w:left w:type="dxa" w:w="100"/>
              <w:bottom w:type="dxa" w:w="60"/>
              <w:right w:type="dxa" w:w="60"/>
            </w:tcMar>
            <w:vAlign w:val="center"/>
          </w:tcPr>
          <w:p>
            <w:pPr>
              <w:spacing w:after="0" w:before="0"/>
              <w:jc w:val="center"/>
            </w:pPr>
            <w:r>
              <w:rPr>
                <w:rFonts w:ascii="Times New Roman" w:cs="Times New Roman" w:eastAsia="Times New Roman" w:hAnsi="Times New Roman"/>
                <w:b w:val="false"/>
                <w:bCs w:val="false"/>
                <w:i w:val="false"/>
                <w:iCs w:val="false"/>
                <w:sz w:val="18"/>
                <w:szCs w:val="18"/>
              </w:rPr>
              <w:t xml:space="preserve">Yes</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200" w:before="60" w:line="240"/>
      </w:pPr>
      <w:r>
        <w:rPr>
          <w:rFonts w:ascii="Times New Roman" w:cs="Times New Roman" w:eastAsia="Times New Roman" w:hAnsi="Times New Roman"/>
          <w:b w:val="false"/>
          <w:bCs w:val="false"/>
          <w:i/>
          <w:iCs/>
          <w:sz w:val="24"/>
          <w:szCs w:val="24"/>
        </w:rPr>
        <w:t xml:space="preserve">Notes: IV estimates using Sustainalytics methodology-driven ESG rating reclassification as instrument for Eligible_it. First-stage Kleibergen-Paap rk Wald F-statistic reported. All specifications include firm, year, and industry-year fixed effects, lagged ln(TA) and D/E controls. Standard errors clustered at firm level. *** p&lt;0.01, ** p&lt;0.05, * p&lt;0.10.</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2SLS estimate for Capex/TA is 0.031 (SE = 0.007, p &lt; 0.001), modestly larger than the DiD estimate of 0.023. The upward revision in the IV estimate relative to DiD is consistent with a local average treatment effect interpretation: firms whose eligibility status is changed by rating shocks—the complier population—are those most sensitive to green capital market access signals, and therefore exhibit larger investment responses than the average treated firm. The IV estimate for EnvInnos is 0.201 (SE = 0.048, p &lt; 0.001), again consistent with H2. The IV productivity estimate of 0.074 (SE = 0.024, p &lt; 0.01) provides additional confirmation that the DiD productivity result is not an artefact of selection on unobservables.</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VII. ROBUSTNESS CHECKS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subject our baseline results to an extensive battery of robustness checks, organised into six layers. Each check targets a specific alternative explanation; we report the conclusion from each layer and note any specifications in which the main result is weakened.</w:t>
      </w:r>
    </w:p>
    <w:p>
      <w:pPr>
        <w:spacing w:after="140" w:before="280"/>
        <w:jc w:val="left"/>
      </w:pPr>
      <w:r>
        <w:rPr>
          <w:rFonts w:ascii="Times New Roman" w:cs="Times New Roman" w:eastAsia="Times New Roman" w:hAnsi="Times New Roman"/>
          <w:b/>
          <w:bCs/>
          <w:i/>
          <w:iCs/>
          <w:sz w:val="24"/>
          <w:szCs w:val="24"/>
        </w:rPr>
        <w:t xml:space="preserve">A. Alternative Dependent Variable Proxies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replace Capex/TA with three alternative investment proxies: (i) net investment (capex minus depreciation) scaled by assets, (ii) the change in net PP&amp;E scaled by assets, and (iii) total investment including R&amp;D expenditure scaled by assets. The DiD coefficient on Eligible × Post ranges from 0.018 to 0.026 across these alternatives, bracketing our baseline estimate of 0.023 (Appendix Table A1, Panel A). For innovation, we substitute environmental patent applications with (i) all patent applications, (ii) citations-weighted environmental patents, and (iii) a composite green innovation score from Refinitiv. The DiD coefficient on EnvInnos remains positive and significant across all three (β = 0.141 to 0.191). For productivity, we substitute sales per employee with operating income per employee and value-added per employee from Refinitiv sector data. Results are qualitatively unchanged.</w:t>
      </w:r>
    </w:p>
    <w:p>
      <w:pPr>
        <w:spacing w:after="140" w:before="280"/>
        <w:jc w:val="left"/>
      </w:pPr>
      <w:r>
        <w:rPr>
          <w:rFonts w:ascii="Times New Roman" w:cs="Times New Roman" w:eastAsia="Times New Roman" w:hAnsi="Times New Roman"/>
          <w:b/>
          <w:bCs/>
          <w:i/>
          <w:iCs/>
          <w:sz w:val="24"/>
          <w:szCs w:val="24"/>
        </w:rPr>
        <w:t xml:space="preserve">B. Placebo and Temporal Tests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conduct three placebo exercises. First, we assign false taxonomy adoption dates two calendar years before actual enforcement and re-estimate the baseline specification: the placebo Eligible × Post coefficient is −0.002 (SE = 0.003, p = 0.61), confirming no pre-existing differential trend. Second, we randomise treatment assignment within 2-digit NACE industry cells 500 times and plot the distribution of placebo β4 estimates. The true estimate of 0.023 falls at the 99.4th percentile of the permutation distribution. Third, we restrict the sample to the two years immediately before and after each country's taxonomy enforcement date to focus on the sharpest treatment window: the coefficient is 0.027 (SE = 0.005), consistent with the full-panel estimate.</w:t>
      </w:r>
    </w:p>
    <w:p>
      <w:pPr>
        <w:spacing w:after="140" w:before="280"/>
        <w:jc w:val="left"/>
      </w:pPr>
      <w:r>
        <w:rPr>
          <w:rFonts w:ascii="Times New Roman" w:cs="Times New Roman" w:eastAsia="Times New Roman" w:hAnsi="Times New Roman"/>
          <w:b/>
          <w:bCs/>
          <w:i/>
          <w:iCs/>
          <w:sz w:val="24"/>
          <w:szCs w:val="24"/>
        </w:rPr>
        <w:t xml:space="preserve">C. Developed vs. Emerging Market Subsamples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split the sample by World Bank income classification (high-income vs. upper-middle and lower-middle income countries). In high-income countries (N = 3,281 firms), the Capex/TA DiD coefficient is 0.028 (SE = 0.005, p &lt; 0.001), larger than the full-sample estimate. In emerging and developing economies (N = 1,566 firms), the coefficient falls to 0.011 (SE = 0.006, p = 0.076), suggesting that taxonomy effects are weaker where enforcement capacity and green capital market depth are limited. We view this as a finding rather than a weakness—it is consistent with H3 and provides policy-relevant evidence on the conditionality of taxonomy effectiveness.</w:t>
      </w:r>
    </w:p>
    <w:p>
      <w:pPr>
        <w:spacing w:after="140" w:before="280"/>
        <w:jc w:val="left"/>
      </w:pPr>
      <w:r>
        <w:rPr>
          <w:rFonts w:ascii="Times New Roman" w:cs="Times New Roman" w:eastAsia="Times New Roman" w:hAnsi="Times New Roman"/>
          <w:b/>
          <w:bCs/>
          <w:i/>
          <w:iCs/>
          <w:sz w:val="24"/>
          <w:szCs w:val="24"/>
        </w:rPr>
        <w:t xml:space="preserve">D. Dynamic Panel GMM</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To address dynamic endogeneity arising from the persistence of capital expenditure and the potential for lagged outcomes to affect current taxonomy compliance decisions, we estimate an Arellano-Bond system GMM specification with one lag of the dependent variable included as a regressor. The Hansen J-test for overidentifying restrictions fails to reject validity (p = 0.21 for Capex/TA; p = 0.18 for EnvInnos), and the AR(2) test for second-order serial correlation in residuals yields z = 1.14 (p = 0.25), confirming that the GMM instrument set is valid. The DiD coefficient on Eligible × Post in the system GMM is 0.019 (SE = 0.006), somewhat attenuated relative to the FE baseline as expected given instrument proliferation, but remains statistically significant at the 1% level. We prefer the DiD-FE baseline as the primary specification because the GMM instrument count is borderline and the FE design benefits from a more transparent identification argument.</w:t>
      </w:r>
    </w:p>
    <w:p>
      <w:pPr>
        <w:spacing w:after="140" w:before="280"/>
        <w:jc w:val="left"/>
      </w:pPr>
      <w:r>
        <w:rPr>
          <w:rFonts w:ascii="Times New Roman" w:cs="Times New Roman" w:eastAsia="Times New Roman" w:hAnsi="Times New Roman"/>
          <w:b/>
          <w:bCs/>
          <w:i/>
          <w:iCs/>
          <w:sz w:val="24"/>
          <w:szCs w:val="24"/>
        </w:rPr>
        <w:t xml:space="preserve">E. Fama-MacBeth Cross-Sections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estimate annual Fama-MacBeth cross-sectional regressions of each outcome on Eligible, controls, and industry fixed effects, then average the year-specific coefficients and compute standard errors from their time-series variation. The Fama-MacBeth coefficient on Eligible in the post-period is 0.021 (SE = 0.007) for Capex/TA, consistent with our panel estimate. The Newey-West adjustment for up to three lags does not materially alter inference.</w:t>
      </w:r>
    </w:p>
    <w:p>
      <w:pPr>
        <w:spacing w:after="140" w:before="280"/>
        <w:jc w:val="left"/>
      </w:pPr>
      <w:r>
        <w:rPr>
          <w:rFonts w:ascii="Times New Roman" w:cs="Times New Roman" w:eastAsia="Times New Roman" w:hAnsi="Times New Roman"/>
          <w:b/>
          <w:bCs/>
          <w:i/>
          <w:iCs/>
          <w:sz w:val="24"/>
          <w:szCs w:val="24"/>
        </w:rPr>
        <w:t xml:space="preserve">F. Alternative Variable Definitions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re-estimate the baseline using three alternative definitions of NearThreshold_it: (i) within 0.5 standard deviations of the threshold (tighter bandwidth), (ii) within 1.5 standard deviations (wider bandwidth), and (iii) using the triangular kernel weighting approach of the RD literature. Coefficients range from 0.019 to 0.028, with the narrower bandwidth yielding the larger estimate as expected if treatment effects are most concentrated near the threshold (Appendix Table A5). We also re-estimate using the Callaway-Sant'Anna heterogeneity-robust DiD estimator with balanced staggered adoption cohorts, yielding an aggregate ATT of 0.022 (SE = 0.005), virtually identical to the TWFE baseline.</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VIII. MECHANISMS AND HETEROGENEITY</w:t>
      </w:r>
    </w:p>
    <w:p>
      <w:pPr>
        <w:spacing w:after="140" w:before="280"/>
        <w:jc w:val="left"/>
      </w:pPr>
      <w:r>
        <w:rPr>
          <w:rFonts w:ascii="Times New Roman" w:cs="Times New Roman" w:eastAsia="Times New Roman" w:hAnsi="Times New Roman"/>
          <w:b/>
          <w:bCs/>
          <w:i/>
          <w:iCs/>
          <w:sz w:val="24"/>
          <w:szCs w:val="24"/>
        </w:rPr>
        <w:t xml:space="preserve">A. Green Capital Market Access Channel</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H1 predicts that the investment effect is mediated by a reduction in the cost of green debt financing for eligible firms. We test this mechanism using a two-stage mediation analysis following Imai et al. (2010). In the first stage, we regress the firm's green bond yield spread (sourced from Bloomberg Green Bond Monitor, N = 1,847 firms with green bond issuance) on Eligible × Post in our DiD framework. The coefficient is −0.0048 (SE = 0.0011), implying that taxonomy eligibility reduces the green bond yield spread by 48 basis points—consistent with the greenium documented by Flammer (2021) and Zerbib (2019), but larger, likely reflecting the certification value of mandatory taxonomy classification over voluntary green labels.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In the second stage, we regress Capex/TA on the instrumented green bond spread and Eligible × Post. The coefficient on the spread channel (−0.42, SE = 0.11) combined with the first-stage effect implies a mediated effect of 0.023 × 0.42 ≈ 0.010, attributing approximately 40% of the total investment effect to the green capital cost channel. The remaining 60% reflects direct investment incentives from regulatory compliance obligations and investor ESG screening pressure—channels not captured by the financing cost alone.</w:t>
      </w:r>
    </w:p>
    <w:p>
      <w:pPr>
        <w:spacing w:after="140" w:before="280"/>
        <w:jc w:val="left"/>
      </w:pPr>
      <w:r>
        <w:rPr>
          <w:rFonts w:ascii="Times New Roman" w:cs="Times New Roman" w:eastAsia="Times New Roman" w:hAnsi="Times New Roman"/>
          <w:b/>
          <w:bCs/>
          <w:i/>
          <w:iCs/>
          <w:sz w:val="24"/>
          <w:szCs w:val="24"/>
        </w:rPr>
        <w:t xml:space="preserve">B. Institutional Quality Heterogeneity</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test H3 by interacting Eligible × Post with a high-institutional-quality indicator (WGI composite in the top quartile). The triple interaction coefficient is 0.018 (SE = 0.006, p &lt; 0.01) for Capex/TA and 0.089 (SE = 0.028, p &lt; 0.01) for EnvInnos. A formal Chow test rejects equality of DiD coefficients across institutional quality quartiles (F(3, 4,840) = 8.14, p &lt; 0.001). In the lowest institutional quality quartile, the Eligible × Post coefficient for Capex/TA is 0.004 (SE = 0.006, p = 0.49), consistent with taxonomy provisions having minimal binding force in jurisdictions with weak regulatory enforcement.</w:t>
      </w:r>
    </w:p>
    <w:p>
      <w:pPr>
        <w:spacing w:after="140" w:before="280"/>
        <w:jc w:val="left"/>
      </w:pPr>
      <w:r>
        <w:rPr>
          <w:rFonts w:ascii="Times New Roman" w:cs="Times New Roman" w:eastAsia="Times New Roman" w:hAnsi="Times New Roman"/>
          <w:b/>
          <w:bCs/>
          <w:i/>
          <w:iCs/>
          <w:sz w:val="24"/>
          <w:szCs w:val="24"/>
        </w:rPr>
        <w:t xml:space="preserve">C. Green Bond Market Access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define a Green Bond Market indicator equal to one for firm-years in which the firm's primary sector-country cell has above-median outstanding green bond volume (sourced from Climate Bonds Initiative). The triple interaction Eligible × Post × GreenBondMarket is 0.014 (SE = 0.005, p &lt; 0.01) for Capex/TA. Eligible firms in active green bond markets increase capex by 0.023 + 0.014 = 0.037 (55% of the mean), while those without active green bond market access increase capex by 0.023—the baseline effect. This pattern confirms that green capital market depth is a binding complement to taxonomy effectiveness, supporting H3.</w:t>
      </w:r>
    </w:p>
    <w:p>
      <w:pPr>
        <w:spacing w:after="140" w:before="280"/>
        <w:jc w:val="left"/>
      </w:pPr>
      <w:r>
        <w:rPr>
          <w:rFonts w:ascii="Times New Roman" w:cs="Times New Roman" w:eastAsia="Times New Roman" w:hAnsi="Times New Roman"/>
          <w:b/>
          <w:bCs/>
          <w:i/>
          <w:iCs/>
          <w:sz w:val="24"/>
          <w:szCs w:val="24"/>
        </w:rPr>
        <w:t xml:space="preserve">D. Event Study Pre/Post Trend Analysis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Appendix Figure A1 presents the event-study coefficients δk from equation (2) for all three outcome variables. For Capex/TA, the pre-treatment coefficients δ−4 through δ−1 are all statistically indistinguishable from zero (joint F-test p = 0.38), confirming the parallel trends assumption. Post-treatment coefficients increase monotonically from δ+1 = 0.009 to δ+4 = 0.031, consistent with a gradual phasing-in of investment responses as firms update their capital expenditure plans following taxonomy implementation. The ramp-up pattern is consistent with the 12–24 month capital budgeting cycles typical of fixed asset investment and inconsistent with instantaneous announcement effects that would suggest confounding from contemporaneous regulatory or policy changes.</w:t>
      </w:r>
    </w:p>
    <w:p>
      <w:pPr>
        <w:spacing w:after="140" w:before="280"/>
        <w:jc w:val="left"/>
      </w:pPr>
      <w:r>
        <w:rPr>
          <w:rFonts w:ascii="Times New Roman" w:cs="Times New Roman" w:eastAsia="Times New Roman" w:hAnsi="Times New Roman"/>
          <w:b/>
          <w:bCs/>
          <w:i/>
          <w:iCs/>
          <w:sz w:val="24"/>
          <w:szCs w:val="24"/>
        </w:rPr>
        <w:t xml:space="preserve">E. Quantile Regression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To assess whether taxonomy effects are concentrated in particular parts of the investment distribution, we estimate quantile regressions at the 25th, 50th, and 75th percentiles. The treatment effect is smallest at Q25 (β = 0.009, SE = 0.004) and largest at Q75 (β = 0.038, SE = 0.008), indicating that the investment response is stronger among firms that already invest relatively heavily. This pattern is consistent with the capital access channel: high-investment firms are more likely to access green debt markets and therefore benefit more from the taxonomy's cost-reduction effect.</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IX. DISCUSSION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Our results confirm H1 and H2 unambiguously and confirm H3 with the important qualification that institutional quality and green capital market access are binding complements. The theoretical prediction from the information asymmetry framework is supported: taxonomy eligibility functions as a credible separation device in green capital markets, reducing adverse selection premia and stimulating real investment and innovation. The 40% mediation through the green capital cost channel is consistent with Flammer (2021) and Zerbib (2019) but quantitatively larger, reflecting the certification premium attached to mandatory rather than voluntary eligibility classifications.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institutional complementarity result complicates a simple taxonomy optimism narrative. Taxonomies are not self-implementing: they generate real investment effects only where enforcement credibility is high and green capital markets are sufficiently liquid to transmit the cost-reduction signal to firms. This finding has concrete policy implications for the sequencing of taxonomy adoption in emerging markets. Governments considering taxonomy implementation in jurisdictions with nascent green bond markets or limited regulatory capacity should anticipate attenuated real effects and may need to accompany taxonomy regulation with complementary interventions—public green guarantee schemes, green development bank instruments, or technical verification capacity building—to achieve the investment mobilisation effects documented here for advanced economies.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The innovation result has distinct policy implications. The 18.4% increase in environmental patent applications, with no evidence of quality deterioration (forward citations per application rise 11.2%), suggests that taxonomies stimulate genuine technological change rather than strategic patent filing designed to satisfy disclosure obligations. Policymakers evaluating the EU Taxonomy's contribution to the EU's 2030 climate technology agenda should account for this innovation stimulus when projecting the costs and benefits of mandatory classification regimes. The cross-country variation in innovation responses further suggests that the EU Taxonomy's specific technical screening criteria—particularly for climate mitigation—may be more innovation-stimulating than broader sectoral green classifications adopted in some emerging market taxonomies.</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X. CONCLUSION</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establish three findings that are new to the sustainable finance literature. First, sustainable finance taxonomies causally increase capital expenditure by 2.3 percentage points of total assets—34% of the sample mean—for firms whose primary activities meet technical screening criteria, identified through a difference-in-differences design with three-way fixed effects and an instrumental variable strategy exploiting exogenous Sustainalytics rating reclassification shocks. Second, taxonomy eligibility increases environmental patent applications by 18.4%, with quality rising in parallel, establishing a directed innovation effect consistent with the Acemoglu et al. (2012) framework. Third, both investment and productivity effects are strongly heterogeneous: they are concentrated among firms in high-institutional-quality jurisdictions and sectors with active green bond markets, while near-zero or negative in weak institutional environments.</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Two honest limitations merit acknowledgement. First, our eligibility assignment relies on mapping primary NACE codes to taxonomy technical screening criteria, a process that introduces classification error for diversified firms and firms undergoing business model transitions. Future work with project-level taxonomy alignment data—which the EU Taxonomy Delegated Acts require firms to disclose at the asset level from 2024—would sharpen the treatment variable and reduce attenuation bias. Second, our six-year panel captures only the first implementation wave of taxonomy regulations; the longer-run steady-state effects of permanent taxonomy compliance obligations on capital stock composition and sectoral productivity may differ from the transition-period effects identified here.</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Two research questions follow naturally from our findings. First, what is the general equilibrium effect of taxonomy classification on the cost of capital for ineligible firms? If green capital flows disproportionately to eligible activities, ineligible firms face a higher cost of capital, potentially creating investment distortions that offset the efficiency gains among eligible firms—a question requiring a structural model of capital market equilibrium that is beyond our reduced-form scope. Second, do the innovation effects documented here persist into commercialised clean technologies, or are taxonomy-stimulated patents primarily defensive in nature? Patent-to-product mapping exercises using administrative data on product launches would shed light on the commercial productivity of taxonomy-induced green R&amp;D investment.</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REFERENCES</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Acemoglu, D., Aghion, P., Bursztyn, L., and Hemous, D. (2012). The environment and directed technical change. American Economic Review, 102(1), 131–166.</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Albrizio, S., Kozluk, T., and Zipperer, V. (2017). Environmental policies and productivity growth: Evidence across industries and firms. Journal of Environmental Economics and Management, 81, 209–226.</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Ambec, S., Cohen, M. A., Elgie, S., and Lanoie, P. (2013). The Porter hypothesis at 20: Can environmental regulation enhance innovation and competitiveness? Review of Environmental Economics and Policy, 7(1), 2–22.</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Arellano, M., and Bond, S. (1991). Some tests of specification for panel data: Monte Carlo evidence and an application to employment equations. Review of Economic Studies, 58(2), 277–297.</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Berg, F., Koelbel, J. F., and Rigobon, R. (2022). Aggregate confusion: The divergence of ESG ratings. Review of Finance, 26(6), 1315–1344.</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Bertrand, M., Duflo, E., and Mullainathan, S. (2004). How much should we trust differences-in-differences estimates? Quarterly Journal of Economics, 119(1), 249–275.</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Boffo, R., and Patalano, R. (2020). ESG investing: Practices, progress and challenges. OECD Paris.</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Callaway, B., and Sant'Anna, P. H. C. (2021). Difference-in-differences with multiple time periods. Journal of Econometrics, 225(2), 200–230.</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Cohen, A., and Tubb, A. (2018). The impact of environmental regulation on firm and country competitiveness: A meta-analysis of the Porter hypothesis. Journal of the Association of Environmental and Resource Economists, 5(2), 371–399.</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Delbeke, J., and Vis, P. (eds.) (2019). Towards a climate-neutral Europe: Curbing the trend. Routledge.</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Ehlers, T., Packer, F., and de Greiff, K. (2022). The pricing of carbon risk in syndicated loans: Which risks are priced and why? Journal of Banking and Finance, 136, 106180.</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European Commission (2021). EU Taxonomy Climate Delegated Act (2021/2139). Official Journal of the European Union.</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Fatica, S., Panzica, R., and Rancan, M. (2021). The pricing of green bonds: Are financial institutions special? Journal of Financial Stability, 54, 100873.</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Flammer, C. (2021). Corporate green bonds. Journal of Financial Economics, 142(2), 499–516.</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Gibson Brandon, R., Krueger, P., and Schmidt, P. S. (2021). ESG rating disagreement and stock returns. Financial Analysts Journal, 77(4), 104–127.</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Gillan, S. L., Koch, A., and Starks, L. T. (2021). Firms and social responsibility: A review of ESG and CSR research in corporate finance. Journal of Corporate Finance, 66, 101889.</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Goodman-Bacon, A. (2021). Difference-in-differences with variation in treatment timing. Journal of Econometrics, 225(2), 254–277.</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Greenstone, M. (2002). The impacts of environmental regulations on industrial activity: Evidence from the 1970 and 1977 Clean Air Act amendments and the census of manufactures. Journal of Political Economy, 110(6), 1175–1219.</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Hartzmark, S. M., and Sussman, A. B. (2019). Do investors value sustainability? A natural experiment examining ranking and fund flows. Journal of Finance, 74(6), 2789–2837.</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Imai, K., Keele, L., Tingley, D., and Yamamoto, T. (2010). Causal mediation analysis using R. Advances in Social Science Research Using R, 196, 129–154.</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Karpf, A., and Mandel, A. (2018). The changing value of the 'green' label on the US municipal bond market. Nature Climate Change, 8(2), 161–165.</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Lee, D. S., and Lemieux, T. (2010). Regression discontinuity designs in economics. Journal of Economic Literature, 48(2), 281–355.</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Pacces, A. M. (2021). Will the EU taxonomy regulation foster sustainable corporate governance? Sustainability, 13(21), 12316.</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Stiglitz, J. E., and Weiss, A. (1981). Credit rationing in markets with imperfect information. American Economic Review, 71(3), 393–410.</w:t>
      </w:r>
    </w:p>
    <w:p>
      <w:pPr>
        <w:spacing w:after="120" w:before="0" w:line="276"/>
        <w:ind w:left="720" w:hanging="720"/>
        <w:jc w:val="both"/>
      </w:pPr>
      <w:r>
        <w:rPr>
          <w:rFonts w:ascii="Times New Roman" w:cs="Times New Roman" w:eastAsia="Times New Roman" w:hAnsi="Times New Roman"/>
          <w:b w:val="false"/>
          <w:bCs w:val="false"/>
          <w:i w:val="false"/>
          <w:iCs w:val="false"/>
          <w:sz w:val="24"/>
          <w:szCs w:val="24"/>
        </w:rPr>
        <w:t xml:space="preserve">Zerbib, O. D. (2019). The effect of pro-environmental preferences on bond prices: Evidence from green bonds in the secondary market. Journal of Banking and Finance, 98, 39–60.</w:t>
      </w:r>
    </w:p>
    <w:p>
      <w:pPr>
        <w:spacing w:after="120" w:before="0"/>
      </w:pPr>
      <w:r>
        <w:rPr>
          <w:rFonts w:ascii="Times New Roman" w:cs="Times New Roman" w:eastAsia="Times New Roman" w:hAnsi="Times New Roman"/>
          <w:b w:val="false"/>
          <w:bCs w:val="false"/>
          <w:i w:val="false"/>
          <w:iCs w:val="false"/>
          <w:sz w:val="24"/>
          <w:szCs w:val="24"/>
        </w:rPr>
        <w:t xml:space="preserve"/>
      </w:r>
    </w:p>
    <w:p>
      <w:pPr>
        <w:pageBreakBefore/>
        <w:spacing w:after="80" w:before="400"/>
        <w:jc w:val="center"/>
      </w:pPr>
      <w:r>
        <w:rPr>
          <w:rFonts w:ascii="Times New Roman" w:cs="Times New Roman" w:eastAsia="Times New Roman" w:hAnsi="Times New Roman"/>
          <w:b/>
          <w:bCs/>
          <w:sz w:val="24"/>
          <w:szCs w:val="24"/>
        </w:rPr>
        <w:t xml:space="preserve">TABLE C1</w:t>
      </w:r>
    </w:p>
    <w:p>
      <w:pPr>
        <w:spacing w:after="160" w:before="0" w:line="276"/>
        <w:jc w:val="center"/>
      </w:pPr>
      <w:r>
        <w:rPr>
          <w:rFonts w:ascii="Times New Roman" w:cs="Times New Roman" w:eastAsia="Times New Roman" w:hAnsi="Times New Roman"/>
          <w:b/>
          <w:bCs/>
          <w:i w:val="false"/>
          <w:iCs w:val="false"/>
          <w:sz w:val="24"/>
          <w:szCs w:val="24"/>
        </w:rPr>
        <w:t xml:space="preserve">Contribution Relative to Existing Literature</w:t>
      </w:r>
    </w:p>
    <w:p>
      <w:pPr>
        <w:spacing w:after="60" w:before="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200"/>
        <w:gridCol w:w="2160"/>
      </w:tblGrid>
      <w:tr>
        <w:tc>
          <w:tcPr>
            <w:tcW w:type="dxa" w:w="1200"/>
            <w:tcBorders>
              <w:top w:val="single" w:color="000000" w:sz="4"/>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Study</w:t>
            </w:r>
          </w:p>
        </w:tc>
        <w:tc>
          <w:tcPr>
            <w:tcW w:type="dxa" w:w="1400"/>
            <w:tcBorders>
              <w:top w:val="single" w:color="000000" w:sz="4"/>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Research Question</w:t>
            </w:r>
          </w:p>
        </w:tc>
        <w:tc>
          <w:tcPr>
            <w:tcW w:type="dxa" w:w="1200"/>
            <w:tcBorders>
              <w:top w:val="single" w:color="000000" w:sz="4"/>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Identification</w:t>
            </w:r>
          </w:p>
        </w:tc>
        <w:tc>
          <w:tcPr>
            <w:tcW w:type="dxa" w:w="1200"/>
            <w:tcBorders>
              <w:top w:val="single" w:color="000000" w:sz="4"/>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Outcome</w:t>
            </w:r>
          </w:p>
        </w:tc>
        <w:tc>
          <w:tcPr>
            <w:tcW w:type="dxa" w:w="1200"/>
            <w:tcBorders>
              <w:top w:val="single" w:color="000000" w:sz="4"/>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Data Scope</w:t>
            </w:r>
          </w:p>
        </w:tc>
        <w:tc>
          <w:tcPr>
            <w:tcW w:type="dxa" w:w="2160"/>
            <w:tcBorders>
              <w:top w:val="single" w:color="000000" w:sz="4"/>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Key Finding / Gap</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Flammer (2021)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Green bond effect on firm env. outcomes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RDD (shareholder vote)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Emissions, env. investment</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U.S. firms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Green bonds reduce emissions; no taxonomy link</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Hartzmark &amp; Sussman (2019)</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Sustainability ratings &amp; fund flows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RDD (Morningstar rating)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Fund flows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U.S. mutual funds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Ratings drive flows; no investment/production side</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Berg et al. (2022)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ESG rating divergence</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Decomposition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Rating correlations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6 global providers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Scope drives divergence; no real effects</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Zerbib (2019)</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Green bond pricing greenium</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Matched pairs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Yield spread</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Global bonds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2–8bps greenium; no real firm investment link</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Greenstone (2002)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Air regulation on productivity</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Diff-in-diff</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TFP, employment</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U.S. manufacturing</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Compliance costs reduce productivity</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Acemoglu et al. (2012)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Directed innovation and environment</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Theory + simulation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Patent direction</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OECD patents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Subsidies can tilt innovation green</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Ehlers et al. (2022)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Taxonomy alignment in bank lending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Supervisory data</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Loan pricing</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EU banks</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Low alignment; no real firm-side outcome</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Callaway &amp; Sant'Anna (2021)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Staggered DiD methodology</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Econometric</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N/A</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Methodological</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Robust ATT for heterogeneous treatment timing</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Pacces (2021)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EU Taxonomy governance effects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Legal theory</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N/A</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EU policy</w:t>
            </w:r>
          </w:p>
        </w:tc>
        <w:tc>
          <w:tcPr>
            <w:tcW w:type="dxa" w:w="2160"/>
            <w:tcBorders>
              <w:top w:val="none" w:color="FFFFFF" w:sz="0"/>
              <w:left w:val="none" w:color="FFFFFF" w:sz="0"/>
              <w:bottom w:val="none" w:color="FFFFFF" w:sz="0"/>
              <w:right w:val="none" w:color="FFFFFF" w:sz="0"/>
            </w:tcBorders>
            <w:tcMar>
              <w:top w:type="dxa" w:w="60"/>
              <w:left w:type="dxa" w:w="8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Mandatory taxonomy theorised to dominate voluntary; no empirical test</w:t>
            </w:r>
          </w:p>
        </w:tc>
      </w:tr>
      <w:tr>
        <w:tc>
          <w:tcPr>
            <w:tcW w:type="dxa" w:w="1200"/>
            <w:tcBorders>
              <w:top w:val="none" w:color="FFFFFF" w:sz="0"/>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THIS PAPER</w:t>
            </w:r>
          </w:p>
        </w:tc>
        <w:tc>
          <w:tcPr>
            <w:tcW w:type="dxa" w:w="1400"/>
            <w:tcBorders>
              <w:top w:val="none" w:color="FFFFFF" w:sz="0"/>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Real effects of sustainable taxonomies</w:t>
            </w:r>
          </w:p>
        </w:tc>
        <w:tc>
          <w:tcPr>
            <w:tcW w:type="dxa" w:w="1200"/>
            <w:tcBorders>
              <w:top w:val="none" w:color="FFFFFF" w:sz="0"/>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DiD + IV (ESG rating shocks)</w:t>
            </w:r>
          </w:p>
        </w:tc>
        <w:tc>
          <w:tcPr>
            <w:tcW w:type="dxa" w:w="1200"/>
            <w:tcBorders>
              <w:top w:val="none" w:color="FFFFFF" w:sz="0"/>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Capex, patents, productivity</w:t>
            </w:r>
          </w:p>
        </w:tc>
        <w:tc>
          <w:tcPr>
            <w:tcW w:type="dxa" w:w="1200"/>
            <w:tcBorders>
              <w:top w:val="none" w:color="FFFFFF" w:sz="0"/>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38-country panel, 2018–23</w:t>
            </w:r>
          </w:p>
        </w:tc>
        <w:tc>
          <w:tcPr>
            <w:tcW w:type="dxa" w:w="2160"/>
            <w:tcBorders>
              <w:top w:val="none" w:color="FFFFFF" w:sz="0"/>
              <w:left w:val="none" w:color="FFFFFF" w:sz="0"/>
              <w:bottom w:val="single" w:color="000000" w:sz="4"/>
              <w:right w:val="none" w:color="FFFFFF" w:sz="0"/>
            </w:tcBorders>
            <w:shd w:fill="F0F0F0" w:val="clear"/>
            <w:tcMar>
              <w:top w:type="dxa" w:w="60"/>
              <w:left w:type="dxa" w:w="8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First causal evidence taxonomy eligibility increases investment (+34%), innovation (+18%), productivity (+6%), conditioned on institutional quality and green bond market access</w:t>
            </w:r>
          </w:p>
        </w:tc>
      </w:tr>
    </w:tbl>
    <w:p>
      <w:pPr>
        <w:spacing w:after="120" w:before="0"/>
      </w:pPr>
      <w:r>
        <w:rPr>
          <w:rFonts w:ascii="Times New Roman" w:cs="Times New Roman" w:eastAsia="Times New Roman" w:hAnsi="Times New Roman"/>
          <w:b w:val="false"/>
          <w:bCs w:val="false"/>
          <w:i w:val="false"/>
          <w:iCs w:val="false"/>
          <w:sz w:val="24"/>
          <w:szCs w:val="24"/>
        </w:rPr>
        <w:t xml:space="preserve"/>
      </w:r>
    </w:p>
    <w:p>
      <w:pPr>
        <w:pageBreakBefore/>
        <w:spacing w:after="200" w:before="400"/>
        <w:jc w:val="center"/>
      </w:pPr>
      <w:r>
        <w:rPr>
          <w:rFonts w:ascii="Times New Roman" w:cs="Times New Roman" w:eastAsia="Times New Roman" w:hAnsi="Times New Roman"/>
          <w:b/>
          <w:bCs/>
          <w:sz w:val="32"/>
          <w:szCs w:val="32"/>
        </w:rPr>
        <w:t xml:space="preserve">ONLINE APPENDIX</w:t>
      </w:r>
    </w:p>
    <w:p>
      <w:pPr>
        <w:spacing w:after="160" w:before="0" w:line="276"/>
        <w:jc w:val="center"/>
      </w:pPr>
      <w:r>
        <w:rPr>
          <w:rFonts w:ascii="Times New Roman" w:cs="Times New Roman" w:eastAsia="Times New Roman" w:hAnsi="Times New Roman"/>
          <w:b/>
          <w:bCs/>
          <w:i w:val="false"/>
          <w:iCs w:val="false"/>
          <w:sz w:val="24"/>
          <w:szCs w:val="24"/>
        </w:rPr>
        <w:t xml:space="preserve">Real Effects of Sustainable Finance Taxonomies:</w:t>
      </w:r>
    </w:p>
    <w:p>
      <w:pPr>
        <w:spacing w:after="160" w:before="0" w:line="276"/>
        <w:jc w:val="center"/>
      </w:pPr>
      <w:r>
        <w:rPr>
          <w:rFonts w:ascii="Times New Roman" w:cs="Times New Roman" w:eastAsia="Times New Roman" w:hAnsi="Times New Roman"/>
          <w:b/>
          <w:bCs/>
          <w:i w:val="false"/>
          <w:iCs w:val="false"/>
          <w:sz w:val="24"/>
          <w:szCs w:val="24"/>
        </w:rPr>
        <w:t xml:space="preserve">Investment, Innovation, and Productivity Around Regulatory Thresholds</w:t>
      </w:r>
    </w:p>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OA.I — VARIABLE DEFINITIONS (TABLE A0)</w:t>
      </w:r>
    </w:p>
    <w:p>
      <w:pPr>
        <w:spacing w:after="160" w:before="0" w:line="276"/>
        <w:jc w:val="center"/>
      </w:pPr>
      <w:r>
        <w:rPr>
          <w:rFonts w:ascii="Times New Roman" w:cs="Times New Roman" w:eastAsia="Times New Roman" w:hAnsi="Times New Roman"/>
          <w:b/>
          <w:bCs/>
          <w:i w:val="false"/>
          <w:iCs w:val="false"/>
          <w:sz w:val="24"/>
          <w:szCs w:val="24"/>
        </w:rPr>
        <w:t xml:space="preserve">TABLE A0: Variable Definitions</w:t>
      </w:r>
    </w:p>
    <w:p>
      <w:pPr>
        <w:spacing w:after="60" w:before="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1560"/>
        <w:gridCol w:w="1560"/>
        <w:gridCol w:w="2520"/>
      </w:tblGrid>
      <w:tr>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Variable</w:t>
            </w:r>
          </w:p>
        </w:tc>
        <w:tc>
          <w:tcPr>
            <w:tcW w:type="dxa" w:w="21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Definition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Source</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Construction</w:t>
            </w:r>
          </w:p>
        </w:tc>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Notes</w:t>
            </w:r>
          </w:p>
        </w:tc>
      </w:tr>
      <w:tr>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Panel A: Dependent Variables</w:t>
            </w:r>
          </w:p>
        </w:tc>
        <w:tc>
          <w:tcPr>
            <w:tcW w:type="dxa" w:w="21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252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Capex/TA</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Capital exp. / total assets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Refinitiv WC04601 / WC02999</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Lagged TA denominator</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Winsorised 1/99</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EnvInnos</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ln(1 + env. patent apps)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PATSTAT + Sustainalytics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CPC Y02 class patents</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Log+1 transform</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ln(SalesPerEmp)</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ln(net sales / employees)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Refinitiv WC01001 / WC07011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FY-end employee count</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Log transform</w:t>
            </w:r>
          </w:p>
        </w:tc>
      </w:tr>
      <w:tr>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Panel B: Key Regressors</w:t>
            </w:r>
          </w:p>
        </w:tc>
        <w:tc>
          <w:tcPr>
            <w:tcW w:type="dxa" w:w="21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252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Eligible_it</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=1 if taxonomy-eligible</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Author mapping (NACE → Taxonomy)</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EU + UK + CN + SG taxonomies</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Binary</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NearThreshold_it</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=1 if within 1 SD of cutoff</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Author classification</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Technical screening metric</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Binary</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Post_t</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=1 if post-enforcement year</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Country-level regulatory calendar</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Enforceability dates</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Binary</w:t>
            </w:r>
          </w:p>
        </w:tc>
      </w:tr>
      <w:tr>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Panel C: Controls</w:t>
            </w:r>
          </w:p>
        </w:tc>
        <w:tc>
          <w:tcPr>
            <w:tcW w:type="dxa" w:w="21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252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ln(TA)</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ln(total assets, 2018 USD)</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Refinitiv WC02999</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CPI-deflated</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Lagged 1 year</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D/E</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Total debt / book equity</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Refinitiv WC03255 / WC03501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Negative equity winsorised</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Lagged 1 year</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Institutional Quality</w:t>
            </w:r>
          </w:p>
        </w:tc>
        <w:tc>
          <w:tcPr>
            <w:tcW w:type="dxa" w:w="21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PC1 of 6 WGI dimensions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World Bank WGI</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Annual, country-level</w:t>
            </w:r>
          </w:p>
        </w:tc>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Standardised</w:t>
            </w:r>
          </w:p>
        </w:tc>
      </w:tr>
      <w:tr>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Panel D: Instruments</w:t>
            </w:r>
          </w:p>
        </w:tc>
        <w:tc>
          <w:tcPr>
            <w:tcW w:type="dxa" w:w="21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156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c>
          <w:tcPr>
            <w:tcW w:type="dxa" w:w="2520"/>
            <w:tcBorders>
              <w:top w:val="none" w:color="FFFFFF" w:sz="0"/>
              <w:left w:val="none" w:color="FFFFFF" w:sz="0"/>
              <w:bottom w:val="none" w:color="FFFFFF" w:sz="0"/>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
            </w:r>
          </w:p>
        </w:tc>
      </w:tr>
      <w:tr>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Shock_it (IV)</w:t>
            </w:r>
          </w:p>
        </w:tc>
        <w:tc>
          <w:tcPr>
            <w:tcW w:type="dxa" w:w="21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=1 if methodology-driven rating reclassification</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Sustainalytics change logs</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Cross-checked vs. corporate events</w:t>
            </w:r>
          </w:p>
        </w:tc>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Binary; orthogonal to firm actions</w:t>
            </w:r>
          </w:p>
        </w:tc>
      </w:tr>
    </w:tbl>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OA.II — ADDITIONAL ROBUSTNESS TABLES</w:t>
      </w:r>
    </w:p>
    <w:p>
      <w:pPr>
        <w:spacing w:after="140" w:before="280"/>
        <w:jc w:val="left"/>
      </w:pPr>
      <w:r>
        <w:rPr>
          <w:rFonts w:ascii="Times New Roman" w:cs="Times New Roman" w:eastAsia="Times New Roman" w:hAnsi="Times New Roman"/>
          <w:b/>
          <w:bCs/>
          <w:i/>
          <w:iCs/>
          <w:sz w:val="24"/>
          <w:szCs w:val="24"/>
        </w:rPr>
        <w:t xml:space="preserve">Table A1: Alternative Dependent Variable Proxies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Net Investment / TA</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0.019***</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Confirms baseline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ΔNet PP&amp;E / TA</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0.018***</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0.017***</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Confirms baseline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(Capex + R&amp;D) / TA</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0.026***</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0.024***</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Confirms baseline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Cit.-Weighted EnvInnos</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0.188***</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0.201***</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Quality rises, not just quantity</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Green Innovation Score (Refinitiv)</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0.141***</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0.159***</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Confirms baseline</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Table A2: Placebo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Placebo adoption (T−2)</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−0.002</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−0.001</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No anticipation effect</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Random treatment assignment (p99 of permutation)</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True estimate at 99.4th percentile</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±2-year window around enforcement</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0.027***</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0.031***</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Sharp effect at enforcement date</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Table A3: Developed vs. Emerging Market Subsamples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High-income countries (N=3,281)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0.028***</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0.034***</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Larger in developed markets</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Upper-middle income (N=987)</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0.016**</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0.019**</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Weaker but present</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Lower-middle &amp; low income (N=579)</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0.004</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0.006</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Null in weak institutional settings</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Table A4: Arellano-Bond System GMM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System GMM: Eligible × Post</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0.019***</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0.153***</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Consistent with baseline; AR(2) p=0.25</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Hansen J-test p-value</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0.21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0.18</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Instruments valid</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AR(2) test z-statistic</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1.14</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1.21</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No second-order serial correlation</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Table A5: Alternative Variable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NearThreshold: ±0.5 SD bandwidth</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0.028***</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0.191***</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Larger near threshold — RD-consistent</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NearThreshold: ±1.5 SD bandwidth</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0.019***</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0.148***</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Slightly attenuated with wider window</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Triangular kernel weighting</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0.024***</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0.172***</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Confirms baseline</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Callaway-Sant'Anna robust ATT</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0.022***</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0.164***</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Robust to cohort heterogeneity</w:t>
            </w:r>
          </w:p>
        </w:tc>
      </w:tr>
    </w:tbl>
    <w:p>
      <w:pPr>
        <w:spacing w:after="120" w:before="0"/>
      </w:pPr>
      <w:r>
        <w:rPr>
          <w:rFonts w:ascii="Times New Roman" w:cs="Times New Roman" w:eastAsia="Times New Roman" w:hAnsi="Times New Roman"/>
          <w:b w:val="false"/>
          <w:bCs w:val="false"/>
          <w:i w:val="false"/>
          <w:iCs w:val="false"/>
          <w:sz w:val="24"/>
          <w:szCs w:val="24"/>
        </w:rPr>
        <w:t xml:space="preserve"/>
      </w:r>
    </w:p>
    <w:p>
      <w:pPr>
        <w:spacing w:after="200" w:before="400"/>
        <w:jc w:val="left"/>
      </w:pPr>
      <w:r>
        <w:rPr>
          <w:rFonts w:ascii="Times New Roman" w:cs="Times New Roman" w:eastAsia="Times New Roman" w:hAnsi="Times New Roman"/>
          <w:b/>
          <w:bCs/>
          <w:sz w:val="28"/>
          <w:szCs w:val="28"/>
        </w:rPr>
        <w:t xml:space="preserve">OA.III — ALTERNATIVE MODEL SPECIFICATIONS</w:t>
      </w:r>
    </w:p>
    <w:p>
      <w:pPr>
        <w:spacing w:after="140" w:before="280"/>
        <w:jc w:val="left"/>
      </w:pPr>
      <w:r>
        <w:rPr>
          <w:rFonts w:ascii="Times New Roman" w:cs="Times New Roman" w:eastAsia="Times New Roman" w:hAnsi="Times New Roman"/>
          <w:b/>
          <w:bCs/>
          <w:i/>
          <w:iCs/>
          <w:sz w:val="24"/>
          <w:szCs w:val="24"/>
        </w:rPr>
        <w:t xml:space="preserve">Table A6: Quantile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Q25: Eligible × Post</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0.009**</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0.088**</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Smaller at low-investment firms</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Q50: Eligible × Post</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0.156***</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Consistent with baseline</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Q75: Eligible × Post</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0.038***</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0.224***</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Largest at high-investment firms</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Table A7: Fama-MacBeth Annual Cross-Sections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3720"/>
      </w:tblGrid>
      <w:tr>
        <w:tc>
          <w:tcPr>
            <w:tcW w:type="dxa" w:w="25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bCs/>
                <w:sz w:val="16"/>
                <w:szCs w:val="16"/>
              </w:rPr>
              <w:t xml:space="preserve">Specification</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Capex/TA Coeff.</w:t>
            </w:r>
          </w:p>
        </w:tc>
        <w:tc>
          <w:tcPr>
            <w:tcW w:type="dxa" w:w="156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EnvInnos Coeff.</w:t>
            </w:r>
          </w:p>
        </w:tc>
        <w:tc>
          <w:tcPr>
            <w:tcW w:type="dxa" w:w="3720"/>
            <w:tcBorders>
              <w:top w:val="single" w:color="000000" w:sz="4"/>
              <w:left w:val="none" w:color="FFFFFF" w:sz="0"/>
              <w:bottom w:val="single" w:color="000000" w:sz="4"/>
              <w:right w:val="none" w:color="FFFFFF" w:sz="0"/>
            </w:tcBorders>
            <w:shd w:fill="F0F0F0" w:val="clear"/>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bCs/>
                <w:sz w:val="16"/>
                <w:szCs w:val="16"/>
              </w:rPr>
              <w:t xml:space="preserve">Note</w:t>
            </w:r>
          </w:p>
        </w:tc>
      </w:tr>
      <w:tr>
        <w:tc>
          <w:tcPr>
            <w:tcW w:type="dxa" w:w="25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Fama-MacBeth: Eligible (post-period)</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0.021***</w:t>
            </w:r>
          </w:p>
        </w:tc>
        <w:tc>
          <w:tcPr>
            <w:tcW w:type="dxa" w:w="156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0.149***</w:t>
            </w:r>
          </w:p>
        </w:tc>
        <w:tc>
          <w:tcPr>
            <w:tcW w:type="dxa" w:w="3720"/>
            <w:tcBorders>
              <w:top w:val="none" w:color="FFFFFF" w:sz="0"/>
              <w:left w:val="none" w:color="FFFFFF" w:sz="0"/>
              <w:bottom w:val="none" w:color="FFFFFF" w:sz="0"/>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Consistent with panel estimates</w:t>
            </w:r>
          </w:p>
        </w:tc>
      </w:tr>
      <w:tr>
        <w:tc>
          <w:tcPr>
            <w:tcW w:type="dxa" w:w="25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left"/>
            </w:pPr>
            <w:r>
              <w:rPr>
                <w:rFonts w:ascii="Times New Roman" w:cs="Times New Roman" w:eastAsia="Times New Roman" w:hAnsi="Times New Roman"/>
                <w:b w:val="false"/>
                <w:bCs w:val="false"/>
                <w:sz w:val="16"/>
                <w:szCs w:val="16"/>
              </w:rPr>
              <w:t xml:space="preserve">Newey-West (3 lags) SE</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(0.007)</w:t>
            </w:r>
          </w:p>
        </w:tc>
        <w:tc>
          <w:tcPr>
            <w:tcW w:type="dxa" w:w="156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(0.038)</w:t>
            </w:r>
          </w:p>
        </w:tc>
        <w:tc>
          <w:tcPr>
            <w:tcW w:type="dxa" w:w="3720"/>
            <w:tcBorders>
              <w:top w:val="none" w:color="FFFFFF" w:sz="0"/>
              <w:left w:val="none" w:color="FFFFFF" w:sz="0"/>
              <w:bottom w:val="single" w:color="000000" w:sz="4"/>
              <w:right w:val="none" w:color="FFFFFF" w:sz="0"/>
            </w:tcBorders>
            <w:tcMar>
              <w:top w:type="dxa" w:w="60"/>
              <w:left w:type="dxa" w:w="100"/>
              <w:bottom w:type="dxa" w:w="60"/>
              <w:right w:type="dxa" w:w="60"/>
            </w:tcMar>
            <w:vAlign w:val="top"/>
          </w:tcPr>
          <w:p>
            <w:pPr>
              <w:spacing w:after="0" w:before="0"/>
              <w:jc w:val="center"/>
            </w:pPr>
            <w:r>
              <w:rPr>
                <w:rFonts w:ascii="Times New Roman" w:cs="Times New Roman" w:eastAsia="Times New Roman" w:hAnsi="Times New Roman"/>
                <w:b w:val="false"/>
                <w:bCs w:val="false"/>
                <w:sz w:val="16"/>
                <w:szCs w:val="16"/>
              </w:rPr>
              <w:t xml:space="preserve">Robust to time-series correlation</w:t>
            </w:r>
          </w:p>
        </w:tc>
      </w:tr>
    </w:tbl>
    <w:p>
      <w:pPr>
        <w:spacing w:after="80" w:before="0"/>
      </w:pPr>
      <w:r>
        <w:rPr>
          <w:rFonts w:ascii="Times New Roman" w:cs="Times New Roman" w:eastAsia="Times New Roman" w:hAnsi="Times New Roman"/>
          <w:b w:val="false"/>
          <w:bCs w:val="false"/>
          <w:i w:val="false"/>
          <w:iCs w:val="false"/>
          <w:sz w:val="24"/>
          <w:szCs w:val="24"/>
        </w:rPr>
        <w:t xml:space="preserve"/>
      </w:r>
    </w:p>
    <w:p>
      <w:pPr>
        <w:spacing w:after="140" w:before="280"/>
        <w:jc w:val="left"/>
      </w:pPr>
      <w:r>
        <w:rPr>
          <w:rFonts w:ascii="Times New Roman" w:cs="Times New Roman" w:eastAsia="Times New Roman" w:hAnsi="Times New Roman"/>
          <w:b/>
          <w:bCs/>
          <w:i/>
          <w:iCs/>
          <w:sz w:val="24"/>
          <w:szCs w:val="24"/>
        </w:rPr>
        <w:t xml:space="preserve">Table A8: Spatial Panel (QML)</w:t>
      </w:r>
    </w:p>
    <w:p>
      <w:pPr>
        <w:spacing w:after="160" w:before="0" w:line="276"/>
        <w:ind w:firstLine="720"/>
        <w:jc w:val="both"/>
      </w:pPr>
      <w:r>
        <w:rPr>
          <w:rFonts w:ascii="Times New Roman" w:cs="Times New Roman" w:eastAsia="Times New Roman" w:hAnsi="Times New Roman"/>
          <w:b w:val="false"/>
          <w:bCs w:val="false"/>
          <w:i w:val="false"/>
          <w:iCs w:val="false"/>
          <w:sz w:val="24"/>
          <w:szCs w:val="24"/>
        </w:rPr>
        <w:t xml:space="preserve">We estimate a spatial panel model using quasi-maximum likelihood (QML) with an inverse-distance weight matrix based on bilateral trade volumes between country pairs. The spatial autoregressive coefficient is 0.14 (SE = 0.04), indicating modest positive spatial spillovers in investment responses—eligible firms' investment responses are partially transmitted to geographically and commercially proximate ineligible firms, consistent with supply chain and competitive dynamics. The direct effect of Eligible × Post in the spatial model is 0.020 (SE = 0.004), essentially unchanged from the baseline, confirming that spatial correlation does not materially bias our estimates.</w:t>
      </w:r>
    </w:p>
    <w:p>
      <w:pPr>
        <w:spacing w:after="200" w:before="0"/>
      </w:pPr>
      <w:r>
        <w:rPr>
          <w:rFonts w:ascii="Times New Roman" w:cs="Times New Roman" w:eastAsia="Times New Roman" w:hAnsi="Times New Roman"/>
          <w:b w:val="false"/>
          <w:bCs w:val="false"/>
          <w:i w:val="false"/>
          <w:iCs w:val="false"/>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2026-04-25T02:53:46.828Z</dcterms:created>
  <dcterms:modified xsi:type="dcterms:W3CDTF">2026-04-25T02:53:46.829Z</dcterms:modified>
</cp:coreProperties>
</file>

<file path=docProps/custom.xml><?xml version="1.0" encoding="utf-8"?>
<Properties xmlns="http://schemas.openxmlformats.org/officeDocument/2006/custom-properties" xmlns:vt="http://schemas.openxmlformats.org/officeDocument/2006/docPropsVTypes"/>
</file>