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3864" w:val="clear"/>
            <w:tcMar>
              <w:top w:type="dxa" w:w="500"/>
              <w:left w:type="dxa" w:w="400"/>
              <w:bottom w:type="dxa" w:w="100"/>
              <w:right w:type="dxa" w:w="400"/>
            </w:tcMar>
          </w:tcPr>
          <w:p>
            <w:pPr>
              <w:spacing w:after="80" w:before="0"/>
              <w:jc w:val="center"/>
            </w:pPr>
            <w:r>
              <w:rPr>
                <w:rFonts w:ascii="Arial" w:cs="Arial" w:eastAsia="Arial" w:hAnsi="Arial"/>
                <w:b/>
                <w:bCs/>
                <w:caps/>
                <w:color w:val="AED6F1"/>
                <w:sz w:val="24"/>
                <w:szCs w:val="24"/>
              </w:rPr>
              <w:t xml:space="preserve">WHITE PAPER</w:t>
            </w:r>
          </w:p>
          <w:p>
            <w:pPr>
              <w:spacing w:after="40" w:before="40"/>
              <w:jc w:val="center"/>
            </w:pPr>
            <w:r>
              <w:rPr>
                <w:rFonts w:ascii="Arial" w:cs="Arial" w:eastAsia="Arial" w:hAnsi="Arial"/>
                <w:b/>
                <w:bCs/>
                <w:color w:val="FFFFFF"/>
                <w:sz w:val="48"/>
                <w:szCs w:val="48"/>
              </w:rPr>
              <w:t xml:space="preserve">PRADHAN MANTRI MUDRA YOJANA</w:t>
            </w:r>
          </w:p>
          <w:p>
            <w:pPr>
              <w:spacing w:after="80" w:before="20"/>
              <w:jc w:val="center"/>
            </w:pPr>
            <w:r>
              <w:rPr>
                <w:rFonts w:ascii="Arial" w:cs="Arial" w:eastAsia="Arial" w:hAnsi="Arial"/>
                <w:b/>
                <w:bCs/>
                <w:color w:val="FFFFFF"/>
                <w:sz w:val="40"/>
                <w:szCs w:val="40"/>
              </w:rPr>
              <w:t xml:space="preserve">(PMMY)</w:t>
            </w:r>
          </w:p>
          <w:p>
            <w:pPr>
              <w:spacing w:after="200" w:before="60"/>
              <w:jc w:val="center"/>
            </w:pPr>
            <w:r>
              <w:rPr>
                <w:rFonts w:ascii="Arial" w:cs="Arial" w:eastAsia="Arial" w:hAnsi="Arial"/>
                <w:i/>
                <w:iCs/>
                <w:color w:val="AED6F1"/>
                <w:sz w:val="26"/>
                <w:szCs w:val="26"/>
              </w:rPr>
              <w:t xml:space="preserve">A Decade of 'Fund the Unfunded': Performance Assessment, Structural Gaps, and a Reform Architecture for India's Next 10 Years</w:t>
            </w:r>
          </w:p>
        </w:tc>
      </w:tr>
      <w:tr>
        <w:tc>
          <w:tcPr>
            <w:tcBorders>
              <w:top w:val="none" w:color="FFFFFF" w:sz="0"/>
              <w:left w:val="none" w:color="FFFFFF" w:sz="0"/>
              <w:bottom w:val="none" w:color="FFFFFF" w:sz="0"/>
              <w:right w:val="none" w:color="FFFFFF" w:sz="0"/>
            </w:tcBorders>
            <w:shd w:fill="2E75B6" w:val="clear"/>
            <w:tcMar>
              <w:top w:type="dxa" w:w="160"/>
              <w:left w:type="dxa" w:w="400"/>
              <w:bottom w:type="dxa" w:w="160"/>
              <w:right w:type="dxa" w:w="400"/>
            </w:tcMar>
          </w:tcPr>
          <w:p>
            <w:pPr>
              <w:spacing w:after="0" w:before="0"/>
              <w:jc w:val="center"/>
            </w:pPr>
            <w:r>
              <w:rPr>
                <w:rFonts w:ascii="Arial" w:cs="Arial" w:eastAsia="Arial" w:hAnsi="Arial"/>
                <w:i/>
                <w:iCs/>
                <w:color w:val="FFFFFF"/>
                <w:sz w:val="22"/>
                <w:szCs w:val="22"/>
              </w:rPr>
              <w:t xml:space="preserve">Micro-enterprise Finance · Financial Inclusion · MSME Development · Women Entrepreneurship</w:t>
            </w:r>
          </w:p>
        </w:tc>
      </w:tr>
      <w:tr>
        <w:tc>
          <w:tcPr>
            <w:tcBorders>
              <w:top w:val="none" w:color="FFFFFF" w:sz="0"/>
              <w:left w:val="none" w:color="FFFFFF" w:sz="0"/>
              <w:bottom w:val="none" w:color="FFFFFF" w:sz="0"/>
              <w:right w:val="none" w:color="FFFFFF" w:sz="0"/>
            </w:tcBorders>
            <w:shd w:fill="F2F2F2" w:val="clear"/>
            <w:tcMar>
              <w:top w:type="dxa" w:w="240"/>
              <w:left w:type="dxa" w:w="400"/>
              <w:bottom w:type="dxa" w:w="240"/>
              <w:right w:type="dxa" w:w="400"/>
            </w:tcMar>
          </w:tcPr>
          <w:p>
            <w:pPr>
              <w:spacing w:after="40" w:before="40"/>
              <w:jc w:val="center"/>
            </w:pPr>
            <w:r>
              <w:rPr>
                <w:rFonts w:ascii="Arial" w:cs="Arial" w:eastAsia="Arial" w:hAnsi="Arial"/>
                <w:b/>
                <w:bCs/>
                <w:color w:val="1F3864"/>
                <w:sz w:val="22"/>
                <w:szCs w:val="22"/>
              </w:rPr>
              <w:t xml:space="preserve">Ministry of Finance (Dept. of Financial Services)  |  Ministry of MSME  |  MUDRA Ltd. (SIDBI Subsidiary)</w:t>
            </w:r>
          </w:p>
          <w:p>
            <w:pPr>
              <w:spacing w:after="40" w:before="40"/>
              <w:jc w:val="center"/>
            </w:pPr>
            <w:r>
              <w:rPr>
                <w:rFonts w:ascii="Arial" w:cs="Arial" w:eastAsia="Arial" w:hAnsi="Arial"/>
                <w:color w:val="1F3864"/>
                <w:sz w:val="20"/>
                <w:szCs w:val="20"/>
              </w:rPr>
              <w:t xml:space="preserve">Prepared for: PMO / Cabinet Secretariat / Parliamentary Standing Committee on Finance</w:t>
            </w:r>
          </w:p>
          <w:p>
            <w:pPr>
              <w:spacing w:after="40" w:before="40"/>
              <w:jc w:val="center"/>
            </w:pPr>
            <w:r>
              <w:rPr>
                <w:rFonts w:ascii="Arial" w:cs="Arial" w:eastAsia="Arial" w:hAnsi="Arial"/>
                <w:color w:val="1F3864"/>
                <w:sz w:val="20"/>
                <w:szCs w:val="20"/>
              </w:rPr>
              <w:t xml:space="preserve">Date: May 2026  |  Classification: Policy Advisory — Public</w:t>
            </w:r>
          </w:p>
          <w:p>
            <w:pPr>
              <w:spacing w:after="40" w:before="40"/>
              <w:jc w:val="center"/>
            </w:pPr>
            <w:r>
              <w:rPr>
                <w:rFonts w:ascii="Arial" w:cs="Arial" w:eastAsia="Arial" w:hAnsi="Arial"/>
                <w:i/>
                <w:iCs/>
                <w:color w:val="1F3864"/>
                <w:sz w:val="20"/>
                <w:szCs w:val="20"/>
              </w:rPr>
              <w:t xml:space="preserve">Author: Dr. Debasis Pahi, Ph.D. (Finance), IIT Kharagpur | Model Degree College, Malkangiri, Odisha</w:t>
            </w:r>
          </w:p>
        </w:tc>
      </w:tr>
    </w:tbl>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Executive Summary</w:t>
      </w:r>
    </w:p>
    <w:p>
      <w:pPr>
        <w:spacing w:after="120" w:before="80" w:line="288" w:lineRule="auto"/>
        <w:jc w:val="both"/>
      </w:pPr>
      <w:r>
        <w:rPr>
          <w:rFonts w:ascii="Arial" w:cs="Arial" w:eastAsia="Arial" w:hAnsi="Arial"/>
          <w:b w:val="false"/>
          <w:bCs w:val="false"/>
          <w:i w:val="false"/>
          <w:iCs w:val="false"/>
          <w:color w:val="000000"/>
          <w:sz w:val="22"/>
          <w:szCs w:val="22"/>
        </w:rPr>
        <w:t xml:space="preserve">The Pradhan Mantri MUDRA Yojana (PMMY), launched on 8th April 2015 under the mantra 'Fund the Unfunded', has completed a transformative decade as India's premier micro-enterprise credit programme. Over ten years, the scheme has sanctioned over 52 crore loans worth ₹32.61 lakh crore to non-corporate, non-farm micro and small enterprises — making it one of the largest collateral-free micro-lending programmes in world history. In FY2024-25 alone, 4.79 crore loans worth ₹5.02 lakh crore were sanctioned, with disbursals of ₹4.91 lakh crore (PIB, March 2025).</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PMMY's achievements in financial inclusion are genuinely historic. Women account for 68% of all MUDRA beneficiaries, and approximately 50% of accounts belong to entrepreneurs from SC, ST, and OBC communities (NITI Aayog-KPMG Impact Assessment, November 2023). The average loan ticket size has grown from ₹38,000 in FY16 to ₹1.02 lakh in FY25, reflecting a deepening of market reach. The Ministry of Labour and Employment's 2018 survey documented 1.12 crore net additional employment generated in the scheme's first three years alone. Tamil Nadu, Uttar Pradesh, and Karnataka have together absorbed the largest share of disbursals — but the Northeast, tribal districts, and aspirational districts remain significantly underpenetrated.</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Yet PMMY faces a structural trilemma that threatens to undermine its second decade. First, the Non-Performing Asset (NPA) rate against outstanding loans for Scheduled Commercial Banks has risen to 9.81% as of March 2025 — nearly double the 5.47% recorded in 2018 — raising systemic concerns about credit quality, especially in the collateral-free Kishore category (Business Standard, August 2025). Second, the scheme's refinancing architecture through MUDRA Ltd. creates a disconnect between policy design at the Centre and credit delivery at the last mile, with MLIs (Member Lending Institutions) facing insufficient incentive to serve the genuinely underserved over commercially attractive urban micro-borrowers. Third, the scheme operates in isolation from the broader MSME ecosystem — without structured linkages to skilling (PMKVY), technology adoption (Digital India), market access (GeM, ONDC), and social protection (PM-JAY, PM Awas Yojana).</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This White Paper presents a four-pillar reform architecture for PMMY's next decade: (1) a Credit Quality Restoration Mission — tightening underwriting without abandoning inclusion through AI-assisted creditworthiness assessment; (2) a Last-Mile Deepening Strategy — restructuring MLI incentives and deploying Jan Dhan-Aadhaar-Mobile (JAM) stack for digital MUDRA loans in aspirational districts; (3) an Integrated Entrepreneur Ecosystem — converging PMMY with PMEGP, Stand-Up India, NRLM, and skilling infrastructure; and (4) a Gender and Social Equity Acceleration Framework — ensuring women, SC/ST, and tribal entrepreneurs graduate from Shishu to Kishore and beyond. The estimated additional fiscal cost is manageable within existing budget envelopes through MLI target restructuring and Credit Guarantee Fund for Micro Units (CGFMU) reform.</w:t>
      </w:r>
    </w:p>
    <w:p>
      <w:pPr>
        <w:spacing w:after="0" w:before="1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KEY MESSAGES</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PMMY has sanctioned 52 crore loans worth ₹32.61 lakh crore over 10 years (2015–2025), making it one of the world's largest collateral-free micro-credit programmes (PIB, April 2026).</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68% of beneficiaries are women, and ~50% belong to SC/ST/OBC communities — unparalleled inclusion metrics for a credit programme of this scale (NITI Aayog-KPMG, 2023).</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NPA rate against outstanding Mudra loans for Scheduled Commercial Banks has risen sharply to 9.81% (March 2025) from 5.47% (March 2018), signalling a credit quality crisis that demands structural reform (Business Standard, August 2025).</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The Northeast region accounts for only ~4% of PMMY disbursals since 2015 — a geographic exclusion that must be addressed through dedicated MLI targets and BC network expansion.</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The average loan size of ₹1.02 lakh in FY25 remains far below the capital needs of most growth-stage micro-enterprises — the ₹20 lakh Tarun Plus ceiling (effective October 2024) must be actively promoted.</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PMMY operates in a convergence vacuum: no structured linkage to skilling, market access, technology adoption, or social protection — a design gap that limits enterprise graduation rates.</w:t>
            </w:r>
          </w:p>
        </w:tc>
      </w:tr>
      <w:tr>
        <w:tc>
          <w:tcPr>
            <w:tcW w:type="dxa" w:w="9026"/>
            <w:tcBorders>
              <w:top w:val="single" w:color="1F3864" w:sz="4"/>
              <w:left w:val="single" w:color="1F3864" w:sz="4"/>
              <w:bottom w:val="single" w:color="1F3864" w:sz="4"/>
              <w:right w:val="single" w:color="1F3864" w:sz="4"/>
            </w:tcBorders>
            <w:shd w:fill="EBF0F7" w:val="clear"/>
            <w:tcMar>
              <w:top w:type="dxa" w:w="80"/>
              <w:left w:type="dxa" w:w="20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Reform of PMMY's second decade is not a choice but a fiscal imperative: rising NPAs risk bank balance-sheet stress, potentially deterring MLIs from the scheme at the moment it matters most.</w:t>
            </w:r>
          </w:p>
        </w:tc>
      </w:tr>
    </w:tbl>
    <w:p>
      <w:pPr>
        <w:spacing w:after="0" w:before="20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 and Scope of This Paper</w:t>
      </w:r>
    </w:p>
    <w:p>
      <w:pPr>
        <w:spacing w:after="120" w:before="80" w:line="288" w:lineRule="auto"/>
        <w:jc w:val="both"/>
      </w:pPr>
      <w:r>
        <w:rPr>
          <w:rFonts w:ascii="Arial" w:cs="Arial" w:eastAsia="Arial" w:hAnsi="Arial"/>
          <w:b w:val="false"/>
          <w:bCs w:val="false"/>
          <w:i w:val="false"/>
          <w:iCs w:val="false"/>
          <w:color w:val="000000"/>
          <w:sz w:val="22"/>
          <w:szCs w:val="22"/>
        </w:rPr>
        <w:t xml:space="preserve">This White Paper provides a comprehensive, evidence-based assessment of the Pradhan Mantri MUDRA Yojana (PMMY) at the completion of its tenth year of operation. Its purpose is threefold: to document what PMMY has achieved and where it has fallen short; to diagnose the structural, institutional, and policy causes of its shortcomings; and to propose a reform architecture grounded in international evidence and India's own implementation experience. The paper is addressed to the PMO, Cabinet Secretariat, the Parliamentary Standing Committee on Finance, and the Ministry of MSME and Ministry of Finance as the principal custodians of the scheme.</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The scope covers the full PMMY ecosystem — including MUDRA Ltd. as the refinancing apex body, all categories of Member Lending Institutions (MLIs), and the four loan categories: Shishu (up to ₹50,000), Kishore (₹50,001–₹5 lakh), Tarun (₹5 lakh–₹10 lakh), and the newly introduced Tarun Plus (₹10 lakh–₹20 lakh, from October 2024). The paper also examines PMMY's interaction with the broader GOI financial inclusion and MSME development ecosystem.</w:t>
      </w:r>
    </w:p>
    <w:p>
      <w:pPr>
        <w:pStyle w:val="Heading2"/>
        <w:spacing w:after="140" w:before="280"/>
      </w:pPr>
      <w:r>
        <w:rPr>
          <w:rFonts w:ascii="Arial" w:cs="Arial" w:eastAsia="Arial" w:hAnsi="Arial"/>
          <w:b/>
          <w:bCs/>
          <w:color w:val="2E75B6"/>
          <w:sz w:val="26"/>
          <w:szCs w:val="26"/>
        </w:rPr>
        <w:t xml:space="preserve">1.2  India's MSME Challenge: Why PMMY Matters</w:t>
      </w:r>
    </w:p>
    <w:p>
      <w:pPr>
        <w:spacing w:after="120" w:before="80" w:line="288" w:lineRule="auto"/>
        <w:jc w:val="both"/>
      </w:pPr>
      <w:r>
        <w:rPr>
          <w:rFonts w:ascii="Arial" w:cs="Arial" w:eastAsia="Arial" w:hAnsi="Arial"/>
          <w:b w:val="false"/>
          <w:bCs w:val="false"/>
          <w:i w:val="false"/>
          <w:iCs w:val="false"/>
          <w:color w:val="000000"/>
          <w:sz w:val="22"/>
          <w:szCs w:val="22"/>
        </w:rPr>
        <w:t xml:space="preserve">India's MSME sector is the backbone of its non-agricultural economy. As of 2024, MSMEs contribute approximately 30% of GDP, account for 45% of total exports, and provide employment to an estimated 11 crore persons (MoMSME Annual Report 2024-25). The sector is dominated by micro-enterprises — informal, sole-proprietorship units with minimal fixed capital, operating primarily in trade, manufacturing, and services. The All India Census of MSMEs estimated India's MSME universe at 6.33 crore units, of which over 99% are micro-enterprises and nearly 40% are women-owned.</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The fundamental constraint facing this sector is credit access. The credit gap for MSMEs in India is estimated at ₹20–25 lakh crore (IFC-KPMG, 2019). Formal banking institutions have historically been reluctant to lend to micro-enterprises due to: absence of collateral; lack of formal financial records (ITR, GST invoices); high transaction costs relative to loan size; perceived credit risk; and weak creditworthiness infrastructure for the informal economy. As a result, micro-entrepreneurs have historically relied on moneylenders, chit funds, and informal credit at interest rates of 24–60% per annum — perpetuating debt traps rather than enabling enterprise growth.</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PMMY was designed to break this structural barrier. By positioning MUDRA Ltd. as a refinancing agency — guaranteeing and providing capital to MLIs that lend to micro-enterprises — the scheme sought to reduce the risk premium that formal lenders attach to this segment, expand credit supply, and bring micro-entrepreneurs into the formal financial system. Ten years later, it has partially succeeded and partially struggled.</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2.  Scheme Design Architecture</w:t>
      </w:r>
    </w:p>
    <w:p>
      <w:pPr>
        <w:pStyle w:val="Heading2"/>
        <w:spacing w:after="140" w:before="280"/>
      </w:pPr>
      <w:r>
        <w:rPr>
          <w:rFonts w:ascii="Arial" w:cs="Arial" w:eastAsia="Arial" w:hAnsi="Arial"/>
          <w:b/>
          <w:bCs/>
          <w:color w:val="2E75B6"/>
          <w:sz w:val="26"/>
          <w:szCs w:val="26"/>
        </w:rPr>
        <w:t xml:space="preserve">2.1  Legal and Institutional Basis</w:t>
      </w:r>
    </w:p>
    <w:p>
      <w:pPr>
        <w:spacing w:after="120" w:before="80" w:line="288" w:lineRule="auto"/>
        <w:jc w:val="both"/>
      </w:pPr>
      <w:r>
        <w:rPr>
          <w:rFonts w:ascii="Arial" w:cs="Arial" w:eastAsia="Arial" w:hAnsi="Arial"/>
          <w:b w:val="false"/>
          <w:bCs w:val="false"/>
          <w:i w:val="false"/>
          <w:iCs w:val="false"/>
          <w:color w:val="000000"/>
          <w:sz w:val="22"/>
          <w:szCs w:val="22"/>
        </w:rPr>
        <w:t xml:space="preserve">PMMY is a Central Sector Scheme (CS), 100% funded by the Government of India, with no state cost-sharing requirement. It was announced in the Union Budget 2015-16 and operationalised from 8th April 2015. The legal basis rests on the Micro Units Development and Refinance Agency Ltd. (MUDRA Ltd.), incorporated as a wholly-owned subsidiary of SIDBI (Small Industries Development Bank of India) under the Companies Act 2013, with an initial corpus of ₹5,000 crore and a Credit Guarantee Fund for Micro Units (CGFMU) to backstop default risk.</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MUDRA Ltd. does not lend directly to borrowers. It refinances MLIs — which include public sector banks (PSBs), private sector banks, regional rural banks (RRBs), cooperative banks, small finance banks (SFBs), NBFCs, and microfinance institutions (MFIs) — who in turn extend MUDRA loans to eligible micro-entrepreneurs. This creates a four-tier architecture: GOI → MUDRA Ltd. → MLIs → Borrowers. Each tier introduces incentive alignment challenges that this paper addresses in Section 5.</w:t>
      </w:r>
    </w:p>
    <w:p>
      <w:pPr>
        <w:pStyle w:val="Heading2"/>
        <w:spacing w:after="140" w:before="280"/>
      </w:pPr>
      <w:r>
        <w:rPr>
          <w:rFonts w:ascii="Arial" w:cs="Arial" w:eastAsia="Arial" w:hAnsi="Arial"/>
          <w:b/>
          <w:bCs/>
          <w:color w:val="2E75B6"/>
          <w:sz w:val="26"/>
          <w:szCs w:val="26"/>
        </w:rPr>
        <w:t xml:space="preserve">2.2  Loan Categories and Eligibility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400"/>
        <w:gridCol w:w="1626"/>
      </w:tblGrid>
      <w:tr>
        <w:tc>
          <w:tcPr>
            <w:tcW w:type="dxa" w:w="1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Loan Range</w:t>
            </w:r>
          </w:p>
        </w:tc>
        <w:tc>
          <w:tcPr>
            <w:tcW w:type="dxa" w:w="1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Introduced</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Borrower Profile</w:t>
            </w:r>
          </w:p>
        </w:tc>
        <w:tc>
          <w:tcPr>
            <w:tcW w:type="dxa" w:w="16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 % of FY25 Loans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Shishu</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₹50,000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April 2015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Street vendors, hawkers, micro-traders, first-time borrowers, artisans</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~66% by accounts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Kishore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₹50,001–₹5 lakh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April 2015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Growth-stage micro-enterprises, SHG members graduating to individual credit</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 by accounts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Tarun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lakh–₹10 lakh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April 2015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Established micro-enterprises, semi-formal businesses seeking scale</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 by accounts</w:t>
            </w:r>
          </w:p>
        </w:tc>
      </w:tr>
      <w:tr>
        <w:tc>
          <w:tcPr>
            <w:tcW w:type="dxa" w:w="1800"/>
            <w:tcBorders>
              <w:top w:val="single" w:color="CCCCCC" w:sz="4"/>
              <w:left w:val="single" w:color="CCCCCC" w:sz="4"/>
              <w:bottom w:val="single" w:color="CCCCCC" w:sz="4"/>
              <w:right w:val="single" w:color="CCCCCC" w:sz="4"/>
            </w:tcBorders>
            <w:shd w:fill="EBF0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Tarun Plus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lakh–₹20 lakh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October 2024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Borrowers who have successfully repaid a Tarun loan</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Nascent; data emerging</w:t>
            </w:r>
          </w:p>
        </w:tc>
      </w:tr>
    </w:tbl>
    <w:p>
      <w:pPr>
        <w:spacing w:after="60" w:before="40"/>
        <w:jc w:val="both"/>
      </w:pPr>
      <w:r>
        <w:rPr>
          <w:rFonts w:ascii="Arial" w:cs="Arial" w:eastAsia="Arial" w:hAnsi="Arial"/>
          <w:i/>
          <w:iCs/>
          <w:color w:val="666666"/>
          <w:sz w:val="18"/>
          <w:szCs w:val="18"/>
        </w:rPr>
        <w:t xml:space="preserve">Source: PIB (March 2025); MUDRA Ltd. Annual Report 2024-25; Union Budget 2024-25.</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Eligible borrowers include individuals, proprietary concerns, partnership firms, private and public companies engaged in non-farm, non-corporate income-generating activities. Loans are available for manufacturing, trading, service sector, and allied agricultural activities. There is no collateral requirement, and CGFMU provides credit guarantee cover to MLIs for eligible loans, reducing their effective risk exposure.</w:t>
      </w:r>
    </w:p>
    <w:p>
      <w:pPr>
        <w:pStyle w:val="Heading2"/>
        <w:spacing w:after="140" w:before="280"/>
      </w:pPr>
      <w:r>
        <w:rPr>
          <w:rFonts w:ascii="Arial" w:cs="Arial" w:eastAsia="Arial" w:hAnsi="Arial"/>
          <w:b/>
          <w:bCs/>
          <w:color w:val="2E75B6"/>
          <w:sz w:val="26"/>
          <w:szCs w:val="26"/>
        </w:rPr>
        <w:t xml:space="preserve">2.3  Key Scheme Parameters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F3864" w:sz="4"/>
              <w:left w:val="single" w:color="1F3864" w:sz="4"/>
              <w:bottom w:val="single" w:color="1F3864" w:sz="4"/>
              <w:right w:val="single" w:color="1F3864" w:sz="4"/>
            </w:tcBorders>
            <w:shd w:fill="D5E8F0" w:val="clear"/>
            <w:tcMar>
              <w:top w:type="dxa" w:w="100"/>
              <w:left w:type="dxa" w:w="120"/>
              <w:bottom w:type="dxa" w:w="100"/>
              <w:right w:type="dxa" w:w="120"/>
            </w:tcMar>
            <w:vAlign w:val="center"/>
          </w:tcPr>
          <w:p>
            <w:pPr>
              <w:jc w:val="center"/>
            </w:pPr>
            <w:r>
              <w:rPr>
                <w:rFonts w:ascii="Arial" w:cs="Arial" w:eastAsia="Arial" w:hAnsi="Arial"/>
                <w:b/>
                <w:bCs/>
                <w:color w:val="1F3864"/>
                <w:sz w:val="20"/>
                <w:szCs w:val="20"/>
              </w:rPr>
              <w:t xml:space="preserve">Parameter</w:t>
            </w:r>
          </w:p>
        </w:tc>
        <w:tc>
          <w:tcPr>
            <w:tcW w:type="dxa" w:w="5526"/>
            <w:tcBorders>
              <w:top w:val="single" w:color="1F3864" w:sz="4"/>
              <w:left w:val="single" w:color="1F3864" w:sz="4"/>
              <w:bottom w:val="single" w:color="1F3864" w:sz="4"/>
              <w:right w:val="single" w:color="1F3864" w:sz="4"/>
            </w:tcBorders>
            <w:shd w:fill="D5E8F0" w:val="clear"/>
            <w:tcMar>
              <w:top w:type="dxa" w:w="100"/>
              <w:left w:type="dxa" w:w="120"/>
              <w:bottom w:type="dxa" w:w="100"/>
              <w:right w:type="dxa" w:w="120"/>
            </w:tcMar>
            <w:vAlign w:val="center"/>
          </w:tcPr>
          <w:p>
            <w:pPr>
              <w:jc w:val="center"/>
            </w:pPr>
            <w:r>
              <w:rPr>
                <w:rFonts w:ascii="Arial" w:cs="Arial" w:eastAsia="Arial" w:hAnsi="Arial"/>
                <w:b/>
                <w:bCs/>
                <w:color w:val="1F3864"/>
                <w:sz w:val="20"/>
                <w:szCs w:val="20"/>
              </w:rPr>
              <w:t xml:space="preserve">Detail</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Launch Date</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8th April 2015</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Scheme Type</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Central Sector Scheme (100% Centre; no state share)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Nodal Ministry</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Ministry of Finance (Dept. of Financial Services) + Ministry of MSME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Apex Body</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Ltd. (wholly-owned subsidiary of SIDBI)</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Loans (10 years)</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52 crore loans; ₹32.61 lakh crore sanctioned (PIB, April 2026)</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FY25 Disbursals</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₹4.91 lakh crore across 4.79 crore loan accounts</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Budget Allocation (FY25-26)</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₹6,050 crore (Union Budget 2025-26)</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Rate (outstanding, March 2025)</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9.81% (Scheduled Commercial Banks); 2.19% on disbursed amount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 Beneficiaries</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68% of total accounts; ₹14.24 lakh crore disbursed to women (10-year cumulative)</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SC/ST/OBC Share</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 of total accounts (NITI Aayog-KPMG, 2023)</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Average Loan Size (FY25)</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₹1.02 lakh (up from ₹38,000 in FY16)</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 Disbursing State</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Tamil Nadu — ₹3.23 lakh crore cumulative (PIB, 2025)</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Digital Access</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JanSamarth portal; Udyami Mitra portal; MUDRA Card (RuPay-based working capital)</w:t>
            </w:r>
          </w:p>
        </w:tc>
      </w:tr>
    </w:tbl>
    <w:p>
      <w:pPr>
        <w:spacing w:after="60" w:before="40"/>
        <w:jc w:val="both"/>
      </w:pPr>
      <w:r>
        <w:rPr>
          <w:rFonts w:ascii="Arial" w:cs="Arial" w:eastAsia="Arial" w:hAnsi="Arial"/>
          <w:i/>
          <w:iCs/>
          <w:color w:val="666666"/>
          <w:sz w:val="18"/>
          <w:szCs w:val="18"/>
        </w:rPr>
        <w:t xml:space="preserve">Sources: PIB (April 2026); Business Standard (August 2025); Union Budget 2025-26; NITI Aayog-KPMG (2023).</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3.  Performance Assessment: Ten Years of PMMY</w:t>
      </w:r>
    </w:p>
    <w:p>
      <w:pPr>
        <w:pStyle w:val="Heading2"/>
        <w:spacing w:after="140" w:before="280"/>
      </w:pPr>
      <w:r>
        <w:rPr>
          <w:rFonts w:ascii="Arial" w:cs="Arial" w:eastAsia="Arial" w:hAnsi="Arial"/>
          <w:b/>
          <w:bCs/>
          <w:color w:val="2E75B6"/>
          <w:sz w:val="26"/>
          <w:szCs w:val="26"/>
        </w:rPr>
        <w:t xml:space="preserve">3.1  Scale and Outreach: Unparalleled Achievements</w:t>
      </w:r>
    </w:p>
    <w:p>
      <w:pPr>
        <w:spacing w:after="120" w:before="80" w:line="288" w:lineRule="auto"/>
        <w:jc w:val="both"/>
      </w:pPr>
      <w:r>
        <w:rPr>
          <w:rFonts w:ascii="Arial" w:cs="Arial" w:eastAsia="Arial" w:hAnsi="Arial"/>
          <w:b w:val="false"/>
          <w:bCs w:val="false"/>
          <w:i w:val="false"/>
          <w:iCs w:val="false"/>
          <w:color w:val="000000"/>
          <w:sz w:val="22"/>
          <w:szCs w:val="22"/>
        </w:rPr>
        <w:t xml:space="preserve">By any metric of financial inclusion, PMMY's outreach achievements are extraordinary. The 52 crore loan accounts opened over 10 years — equivalent to roughly one account for every third adult Indian — represent the most rapid expansion of formal micro-credit access in India's history, and arguably in global development finance. The scheme has fundamentally altered the credit landscape for street vendors, vegetable sellers, small manufacturers, tailors, beauticians, mechanics, and hundreds of other micro-enterprise categories that were previously invisible to the formal financial system.</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The growth trajectory is striking: loan disbursals rose from ₹1.37 lakh crore in FY16 to ₹5.02 lakh crore in FY25, representing a nearly 4× expansion in a decade. The average loan ticket size tripled from ₹38,000 to ₹1.02 lakh, signalling that borrowers are graduating to larger credit needs as their enterprises mature — a positive indicator of enterprise progression. The scheme also achieved notable depth in aspirational districts, with year-on-year growth in accounts and amounts of 12% and 14.7% respectively in these priority geographies (NITI Aayog-KPMG, 2023).</w:t>
      </w:r>
    </w:p>
    <w:p>
      <w:pPr>
        <w:pStyle w:val="Heading2"/>
        <w:spacing w:after="140" w:before="280"/>
      </w:pPr>
      <w:r>
        <w:rPr>
          <w:rFonts w:ascii="Arial" w:cs="Arial" w:eastAsia="Arial" w:hAnsi="Arial"/>
          <w:b/>
          <w:bCs/>
          <w:color w:val="2E75B6"/>
          <w:sz w:val="26"/>
          <w:szCs w:val="26"/>
        </w:rPr>
        <w:t xml:space="preserve">3.2  Inclusion Metrics: Historic but Uneven</w:t>
      </w:r>
    </w:p>
    <w:p>
      <w:pPr>
        <w:spacing w:after="120" w:before="80" w:line="288" w:lineRule="auto"/>
        <w:jc w:val="both"/>
      </w:pPr>
      <w:r>
        <w:rPr>
          <w:rFonts w:ascii="Arial" w:cs="Arial" w:eastAsia="Arial" w:hAnsi="Arial"/>
          <w:b w:val="false"/>
          <w:bCs w:val="false"/>
          <w:i w:val="false"/>
          <w:iCs w:val="false"/>
          <w:color w:val="000000"/>
          <w:sz w:val="22"/>
          <w:szCs w:val="22"/>
        </w:rPr>
        <w:t xml:space="preserve">PMMY's inclusion profile is its most celebrated achievement. Women's share of 68% of all accounts is globally exceptional — no major government credit programme at this scale has achieved comparable women's participation. Between FY16 and FY25, per-woman PMMY disbursement grew at a CAGR of 13%, reaching ₹62,679 per account, while women's incremental bank deposits grew at 14% CAGR to ₹95,269 — demonstrating that MUDRA loans are generating genuine enterprise income, not merely increasing indebtedness (PIB, April 2025).</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400"/>
        <w:gridCol w:w="826"/>
      </w:tblGrid>
      <w:tr>
        <w:tc>
          <w:tcPr>
            <w:tcW w:type="dxa" w:w="2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Beneficiary Category</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FY16 Share (%)</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FY20 Share (%)</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FY24 Share (%)</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10-yr Cumulative Disbursal</w:t>
            </w:r>
          </w:p>
        </w:tc>
        <w:tc>
          <w:tcPr>
            <w:tcW w:type="dxa" w:w="8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Trend</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 Entrepreneurs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₹14.24 lakh crore</w:t>
            </w:r>
          </w:p>
        </w:tc>
        <w:tc>
          <w:tcPr>
            <w:tcW w:type="dxa" w:w="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Improving</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SC/ST/OBC Combined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~₹16 lakh crore (est.)</w:t>
            </w:r>
          </w:p>
        </w:tc>
        <w:tc>
          <w:tcPr>
            <w:tcW w:type="dxa" w:w="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Stable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Minority Communities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₹3.07 lakh crore</w:t>
            </w:r>
          </w:p>
        </w:tc>
        <w:tc>
          <w:tcPr>
            <w:tcW w:type="dxa" w:w="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 Flat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(First-time) Entrepreneurs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Estimated ₹6–7 lakh crore</w:t>
            </w:r>
          </w:p>
        </w:tc>
        <w:tc>
          <w:tcPr>
            <w:tcW w:type="dxa" w:w="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Growing</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Northeast Region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 lakh crore</w:t>
            </w:r>
          </w:p>
        </w:tc>
        <w:tc>
          <w:tcPr>
            <w:tcW w:type="dxa" w:w="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 Lagging</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Tribal (ST) Entrepreneurs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separately tracked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Unknown</w:t>
            </w:r>
          </w:p>
        </w:tc>
        <w:tc>
          <w:tcPr>
            <w:tcW w:type="dxa" w:w="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Data Gap</w:t>
            </w:r>
          </w:p>
        </w:tc>
      </w:tr>
    </w:tbl>
    <w:p>
      <w:pPr>
        <w:spacing w:after="60" w:before="40"/>
        <w:jc w:val="both"/>
      </w:pPr>
      <w:r>
        <w:rPr>
          <w:rFonts w:ascii="Arial" w:cs="Arial" w:eastAsia="Arial" w:hAnsi="Arial"/>
          <w:i/>
          <w:iCs/>
          <w:color w:val="666666"/>
          <w:sz w:val="18"/>
          <w:szCs w:val="18"/>
        </w:rPr>
        <w:t xml:space="preserve">Sources: PIB (April 2025 &amp; 2026); NITI Aayog-KPMG Impact Assessment (2023); Business Standard (April 2025).</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3.3  Employment Generation: Significant but Understated</w:t>
      </w:r>
    </w:p>
    <w:p>
      <w:pPr>
        <w:spacing w:after="120" w:before="80" w:line="288" w:lineRule="auto"/>
        <w:jc w:val="both"/>
      </w:pPr>
      <w:r>
        <w:rPr>
          <w:rFonts w:ascii="Arial" w:cs="Arial" w:eastAsia="Arial" w:hAnsi="Arial"/>
          <w:b w:val="false"/>
          <w:bCs w:val="false"/>
          <w:i w:val="false"/>
          <w:iCs w:val="false"/>
          <w:color w:val="000000"/>
          <w:sz w:val="22"/>
          <w:szCs w:val="22"/>
        </w:rPr>
        <w:t xml:space="preserve">Employment impact is the most debated metric of PMMY's performance. The Ministry of Labour and Employment's 2018 survey — the only large-scale nationally representative employment survey conducted on the scheme — documented 1.12 crore net additional employment generated between 2015 and 2018, with the Shishu category contributing 66% of new jobs, Kishore 19%, and Tarun 15%. This implies a jobs-per-loan ratio of approximately 1.2–1.5 — comparable to international benchmarks for micro-credit employment impact.</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However, no systematic employment survey has been conducted since 2018 — a significant monitoring gap given that the scheme has more than quadrupled in scale since then. If the FY18 employment-to-loan ratio is applied to FY25 cumulative disbursals, the implied employment generation would exceed 5 crore jobs — but this extrapolation is methodologically weak and government should commission a fresh nationally representative impact survey as a priority.</w:t>
      </w:r>
    </w:p>
    <w:p>
      <w:pPr>
        <w:pStyle w:val="Heading2"/>
        <w:spacing w:after="140" w:before="280"/>
      </w:pPr>
      <w:r>
        <w:rPr>
          <w:rFonts w:ascii="Arial" w:cs="Arial" w:eastAsia="Arial" w:hAnsi="Arial"/>
          <w:b/>
          <w:bCs/>
          <w:color w:val="2E75B6"/>
          <w:sz w:val="26"/>
          <w:szCs w:val="26"/>
        </w:rPr>
        <w:t xml:space="preserve">3.4  Credit Quality: The Rising NPA Alarm</w:t>
      </w:r>
    </w:p>
    <w:p>
      <w:pPr>
        <w:spacing w:after="120" w:before="80" w:line="288" w:lineRule="auto"/>
        <w:jc w:val="both"/>
      </w:pPr>
      <w:r>
        <w:rPr>
          <w:rFonts w:ascii="Arial" w:cs="Arial" w:eastAsia="Arial" w:hAnsi="Arial"/>
          <w:b w:val="false"/>
          <w:bCs w:val="false"/>
          <w:i w:val="false"/>
          <w:iCs w:val="false"/>
          <w:color w:val="000000"/>
          <w:sz w:val="22"/>
          <w:szCs w:val="22"/>
        </w:rPr>
        <w:t xml:space="preserve">The most serious performance concern is the deterioration in loan quality. The gross NPA rate against outstanding MUDRA loans for Scheduled Commercial Banks has risen from 5.47% in March 2018 to 9.81% in March 2025 — nearly doubling in seven years (Business Standard, August 2025). This is significantly above the overall banking system's GNPA rate of approximately 2.7% and even above the broader MSME sector NPA rate. The NITI Aayog-KPMG (2023) assessment found that Kishore category accounts have been the highest NPA contributor since FY18, and PSBs account for the most severe NPA concentration, while NBFCs and Small Finance Banks report considerably lower rates.</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The Government and Finance Minister have attributed the elevated NPAs to the inherently collateral-free, first-generation-borrower profile of PMMY — a structurally fair explanation. However, the NITI Aayog assessment also identified systemic causes: loan applications are often rejected at the CIBIL check level due to poor financial literacy among applicants rather than genuine credit risk; MLIs face weak incentives to conduct quality credit assessment when they have annual disbursement targets to meet; and the Credit Guarantee Fund (CGFMU) guarantee fee of 1% per annum is considered economically unfavourable by many banks, reducing their willingness to maintain CGFMU cover on their MUDRA portfolios.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NPA Metric</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FY18</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FY20</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FY22</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FY23</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FY25</w:t>
            </w:r>
          </w:p>
        </w:tc>
        <w:tc>
          <w:tcPr>
            <w:tcW w:type="dxa" w:w="12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Trend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GNPA % on outstanding (SCBs)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5.47%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9.81%</w:t>
            </w:r>
          </w:p>
        </w:tc>
        <w:tc>
          <w:tcPr>
            <w:tcW w:type="dxa" w:w="1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 Deteriorating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 on amount disbursed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2.19%</w:t>
            </w:r>
          </w:p>
        </w:tc>
        <w:tc>
          <w:tcPr>
            <w:tcW w:type="dxa" w:w="1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Improving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PSB NPA (highest)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w:t>
            </w:r>
          </w:p>
        </w:tc>
        <w:tc>
          <w:tcPr>
            <w:tcW w:type="dxa" w:w="1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 Critical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NBFC NPA (lowest)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1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 Stable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Kishore NPA Contribution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w:t>
            </w:r>
          </w:p>
        </w:tc>
        <w:tc>
          <w:tcPr>
            <w:tcW w:type="dxa" w:w="1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Persistent Risk</w:t>
            </w:r>
          </w:p>
        </w:tc>
      </w:tr>
    </w:tbl>
    <w:p>
      <w:pPr>
        <w:spacing w:after="60" w:before="40"/>
        <w:jc w:val="both"/>
      </w:pPr>
      <w:r>
        <w:rPr>
          <w:rFonts w:ascii="Arial" w:cs="Arial" w:eastAsia="Arial" w:hAnsi="Arial"/>
          <w:i/>
          <w:iCs/>
          <w:color w:val="666666"/>
          <w:sz w:val="18"/>
          <w:szCs w:val="18"/>
        </w:rPr>
        <w:t xml:space="preserve">Sources: Finance Minister's written reply to Rajya Sabha (August 2025); Business Standard (August 2025); NITI Aayog-KPMG (2023).</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4.  Theory of Change and Causal Logic</w:t>
      </w:r>
    </w:p>
    <w:p>
      <w:pPr>
        <w:pStyle w:val="Heading2"/>
        <w:spacing w:after="140" w:before="280"/>
      </w:pPr>
      <w:r>
        <w:rPr>
          <w:rFonts w:ascii="Arial" w:cs="Arial" w:eastAsia="Arial" w:hAnsi="Arial"/>
          <w:b/>
          <w:bCs/>
          <w:color w:val="2E75B6"/>
          <w:sz w:val="26"/>
          <w:szCs w:val="26"/>
        </w:rPr>
        <w:t xml:space="preserve">4.1  The Intervention Logic</w:t>
      </w:r>
    </w:p>
    <w:p>
      <w:pPr>
        <w:spacing w:after="120" w:before="80" w:line="288" w:lineRule="auto"/>
        <w:jc w:val="both"/>
      </w:pPr>
      <w:r>
        <w:rPr>
          <w:rFonts w:ascii="Arial" w:cs="Arial" w:eastAsia="Arial" w:hAnsi="Arial"/>
          <w:b w:val="false"/>
          <w:bCs w:val="false"/>
          <w:i w:val="false"/>
          <w:iCs w:val="false"/>
          <w:color w:val="000000"/>
          <w:sz w:val="22"/>
          <w:szCs w:val="22"/>
        </w:rPr>
        <w:t xml:space="preserve">PMMY's Theory of Change rests on a credit-access-to-enterprise-growth causal chain: micro-entrepreneurs face a binding credit constraint that prevents them from investing in productive inputs, technology, and expansion. When formal credit becomes accessible at non-predatory rates, entrepreneurs invest in their businesses, generate income, employ workers, repay loans, and build credit histories that unlock further credit access. Over time, this virtuous cycle draws micro-enterprises out of informality and into the formal economy — raising tax compliance, labour formalisation, and productivity.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2100"/>
        <w:gridCol w:w="2026"/>
      </w:tblGrid>
      <w:tr>
        <w:tc>
          <w:tcPr>
            <w:tcW w:type="dxa" w:w="1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Chain Level</w:t>
            </w:r>
          </w:p>
        </w:tc>
        <w:tc>
          <w:tcPr>
            <w:tcW w:type="dxa" w:w="17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7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Indicators</w:t>
            </w:r>
          </w:p>
        </w:tc>
        <w:tc>
          <w:tcPr>
            <w:tcW w:type="dxa" w:w="2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Assumptions</w:t>
            </w:r>
          </w:p>
        </w:tc>
        <w:tc>
          <w:tcPr>
            <w:tcW w:type="dxa" w:w="20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Risks if Assumptions Fail</w:t>
            </w:r>
          </w:p>
        </w:tc>
      </w:tr>
      <w:tr>
        <w:tc>
          <w:tcPr>
            <w:tcW w:type="dxa" w:w="1500"/>
            <w:tcBorders>
              <w:top w:val="single" w:color="CCCCCC" w:sz="4"/>
              <w:left w:val="single" w:color="CCCCCC" w:sz="4"/>
              <w:bottom w:val="single" w:color="CCCCCC" w:sz="4"/>
              <w:right w:val="single" w:color="CCCCCC" w:sz="4"/>
            </w:tcBorders>
            <w:shd w:fill="EBF0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Inputs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₹6,050 crore MUDRA corpus; CGFMU guarantee; MLI network; JanSamarth digital portal; Aadhaar-KYC</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Annual corpus deployed; MLI count; portal loan applications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MLIs willing to lend to micro-segment; Aadhaar-KYC coverage near-universal</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MLIs prioritise commercial borrowers; Aadhaar exclusion errors deny access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Activities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Loan sanctioning across Shishu/Kishore/Tarun/Tarun Plus; refinancing of MLIs; CGFMU guarantee provisioning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Loans sanctioned per quarter; refinancing disbursed; guarantee claims settled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assessment accurately identifies genuine entrepreneurs; targets are set at appropriate levels</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Target-chasing induces poor credit assessment; deserving applicants rejected at CIBIL stage</w:t>
            </w:r>
          </w:p>
        </w:tc>
      </w:tr>
      <w:tr>
        <w:tc>
          <w:tcPr>
            <w:tcW w:type="dxa" w:w="1500"/>
            <w:tcBorders>
              <w:top w:val="single" w:color="CCCCCC" w:sz="4"/>
              <w:left w:val="single" w:color="CCCCCC" w:sz="4"/>
              <w:bottom w:val="single" w:color="CCCCCC" w:sz="4"/>
              <w:right w:val="single" w:color="CCCCCC" w:sz="4"/>
            </w:tcBorders>
            <w:shd w:fill="EBF0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Outputs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Collateral-free credit in hands of micro-entrepreneurs; MUDRA card for working capital; credit history created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Loans disbursed; avg. ticket size; new borrower accounts; MUDRA card issuance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Borrowers use credit for productive business investment, not consumption</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Fund diversion; credit misuse; financial illiteracy leads to debt trap not enterprise growth</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Outcomes (1–3 yrs)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Enterprise growth; income increase; employment generation; loan repayment; credit graduation (Shishu→Kishore→Tarun)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Income increase (%); net jobs created; loan repayment rate; category graduation rate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environment favourable; market access exists; enterprise has skills to grow</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Macro downturns (COVID-19 effect visible in FY21-22 NPAs); market access failure; skill gaps limit growth</w:t>
            </w:r>
          </w:p>
        </w:tc>
      </w:tr>
      <w:tr>
        <w:tc>
          <w:tcPr>
            <w:tcW w:type="dxa" w:w="1500"/>
            <w:tcBorders>
              <w:top w:val="single" w:color="CCCCCC" w:sz="4"/>
              <w:left w:val="single" w:color="CCCCCC" w:sz="4"/>
              <w:bottom w:val="single" w:color="CCCCCC" w:sz="4"/>
              <w:right w:val="single" w:color="CCCCCC" w:sz="4"/>
            </w:tcBorders>
            <w:shd w:fill="EBF0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 (5–10 yrs)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MSME formalisation; reduction in informal credit dependence; women's economic autonomy; employment multiplier across economy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MSME formalisation rate; Gini coefficient; women LFPR; moneylender market share decline</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Regulatory environment supports formalisation; credit history translates to further access</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Formalisation costs deter graduation; credit history not portable across institutions</w:t>
            </w:r>
          </w:p>
        </w:tc>
      </w:tr>
    </w:tbl>
    <w:p>
      <w:pPr>
        <w:spacing w:after="0" w:before="80"/>
      </w:pPr>
      <w:r>
        <w:t xml:space="preserve"/>
      </w:r>
    </w:p>
    <w:p>
      <w:pPr>
        <w:pStyle w:val="Heading2"/>
        <w:spacing w:after="140" w:before="280"/>
      </w:pPr>
      <w:r>
        <w:rPr>
          <w:rFonts w:ascii="Arial" w:cs="Arial" w:eastAsia="Arial" w:hAnsi="Arial"/>
          <w:b/>
          <w:bCs/>
          <w:color w:val="2E75B6"/>
          <w:sz w:val="26"/>
          <w:szCs w:val="26"/>
        </w:rPr>
        <w:t xml:space="preserve">4.2  Critical Assumptions and Evidence</w:t>
      </w:r>
    </w:p>
    <w:p>
      <w:pPr>
        <w:spacing w:after="120" w:before="80" w:line="288" w:lineRule="auto"/>
        <w:jc w:val="both"/>
      </w:pPr>
      <w:r>
        <w:rPr>
          <w:rFonts w:ascii="Arial" w:cs="Arial" w:eastAsia="Arial" w:hAnsi="Arial"/>
          <w:b w:val="false"/>
          <w:bCs w:val="false"/>
          <w:i w:val="false"/>
          <w:iCs w:val="false"/>
          <w:color w:val="000000"/>
          <w:sz w:val="22"/>
          <w:szCs w:val="22"/>
        </w:rPr>
        <w:t xml:space="preserve">The ToC holds well at the Inputs-to-Outputs level — credit is being disbursed at scale to the target segment. Where it weakens is at the Outputs-to-Outcomes level. The NITI Aayog-KPMG (2023) assessment found that financial illiteracy among borrowers contributes significantly to fund misuse and NPA formation. Many Shishu category borrowers lack the business management skills to convert a ₹50,000 loan into sustainable enterprise income. This suggests the ToC requires a supplementary linkage: credit provision must be paired with business development support to achieve the Outcomes the scheme promises.</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5.  Structural Gaps and Root Cause Analysis</w:t>
      </w:r>
    </w:p>
    <w:p>
      <w:pPr>
        <w:pStyle w:val="Heading2"/>
        <w:spacing w:after="140" w:before="280"/>
      </w:pPr>
      <w:r>
        <w:rPr>
          <w:rFonts w:ascii="Arial" w:cs="Arial" w:eastAsia="Arial" w:hAnsi="Arial"/>
          <w:b/>
          <w:bCs/>
          <w:color w:val="2E75B6"/>
          <w:sz w:val="26"/>
          <w:szCs w:val="26"/>
        </w:rPr>
        <w:t xml:space="preserve">5.1  MLI Incentive Misalignment: The Target-Quality Trade-off</w:t>
      </w:r>
    </w:p>
    <w:p>
      <w:pPr>
        <w:spacing w:after="120" w:before="80" w:line="288" w:lineRule="auto"/>
        <w:jc w:val="both"/>
      </w:pPr>
      <w:r>
        <w:rPr>
          <w:rFonts w:ascii="Arial" w:cs="Arial" w:eastAsia="Arial" w:hAnsi="Arial"/>
          <w:b w:val="false"/>
          <w:bCs w:val="false"/>
          <w:i w:val="false"/>
          <w:iCs w:val="false"/>
          <w:color w:val="000000"/>
          <w:sz w:val="22"/>
          <w:szCs w:val="22"/>
        </w:rPr>
        <w:t xml:space="preserve">The PMMY architecture places disbursement targets on MLIs without adequately balancing these with credit quality targets. Under current incentive design, an MLI meeting its annual disbursal target receives refinancing access from MUDRA Ltd. regardless of NPA rates in its MUDRA portfolio — creating a classic moral hazard. PSBs facing annual performance pressure have systematically under-invested in credit assessment for small Shishu and Kishore loans, preferring to meet targets through volume rather than quality. The result: high disbursement numbers mask deteriorating loan quality, and the CGFMU guarantee shield further reduces MLI incentive to recover bad loans vigorously.</w:t>
      </w:r>
    </w:p>
    <w:p>
      <w:pPr>
        <w:pStyle w:val="Heading2"/>
        <w:spacing w:after="140" w:before="280"/>
      </w:pPr>
      <w:r>
        <w:rPr>
          <w:rFonts w:ascii="Arial" w:cs="Arial" w:eastAsia="Arial" w:hAnsi="Arial"/>
          <w:b/>
          <w:bCs/>
          <w:color w:val="2E75B6"/>
          <w:sz w:val="26"/>
          <w:szCs w:val="26"/>
        </w:rPr>
        <w:t xml:space="preserve">5.2  Geographic and Social Exclusions</w:t>
      </w:r>
    </w:p>
    <w:p>
      <w:pPr>
        <w:spacing w:after="120" w:before="80" w:line="288" w:lineRule="auto"/>
        <w:jc w:val="both"/>
      </w:pPr>
      <w:r>
        <w:rPr>
          <w:rFonts w:ascii="Arial" w:cs="Arial" w:eastAsia="Arial" w:hAnsi="Arial"/>
          <w:b w:val="false"/>
          <w:bCs w:val="false"/>
          <w:i w:val="false"/>
          <w:iCs w:val="false"/>
          <w:color w:val="000000"/>
          <w:sz w:val="22"/>
          <w:szCs w:val="22"/>
        </w:rPr>
        <w:t xml:space="preserve">Despite historic inclusion metrics, PMMY reproduces certain structural exclusions. The Northeast region — home to a large proportion of India's tribal population — accounts for barely 4% of cumulative disbursals, reflecting deep gaps in MLI presence, CIBIL data coverage, and business development support infrastructure. Tribal entrepreneurs (ST community) do not appear as a separately tracked beneficiary category in PMMY data — a governance failure that makes it impossible to assess whether the scheme is reaching Scheduled Area populations proportionately.</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Within the category of women borrowers, the 68% headline figure conceals significant heterogeneity: most women beneficiaries are concentrated in urban and peri-urban areas and in trade and service sector activities. Women micro-entrepreneurs in remote tribal districts, rural women in manufacturing, and women with no prior banking relationship face significant additional barriers — language, document requirements, distance from bank branches, and social norms — that the current scheme design does not systematically address.</w:t>
      </w:r>
    </w:p>
    <w:p>
      <w:pPr>
        <w:pStyle w:val="Heading2"/>
        <w:spacing w:after="140" w:before="280"/>
      </w:pPr>
      <w:r>
        <w:rPr>
          <w:rFonts w:ascii="Arial" w:cs="Arial" w:eastAsia="Arial" w:hAnsi="Arial"/>
          <w:b/>
          <w:bCs/>
          <w:color w:val="2E75B6"/>
          <w:sz w:val="26"/>
          <w:szCs w:val="26"/>
        </w:rPr>
        <w:t xml:space="preserve">5.3  Credit-Only Model: Missing the Ecosystem</w:t>
      </w:r>
    </w:p>
    <w:p>
      <w:pPr>
        <w:spacing w:after="120" w:before="80" w:line="288" w:lineRule="auto"/>
        <w:jc w:val="both"/>
      </w:pPr>
      <w:r>
        <w:rPr>
          <w:rFonts w:ascii="Arial" w:cs="Arial" w:eastAsia="Arial" w:hAnsi="Arial"/>
          <w:b w:val="false"/>
          <w:bCs w:val="false"/>
          <w:i w:val="false"/>
          <w:iCs w:val="false"/>
          <w:color w:val="000000"/>
          <w:sz w:val="22"/>
          <w:szCs w:val="22"/>
        </w:rPr>
        <w:t xml:space="preserve">PMMY was designed as a credit programme. It is excellent at credit. But credit alone does not create successful enterprises. A vegetable vendor who receives a ₹30,000 Shishu loan has credit — but she also needs: (a) business skills (bookkeeping, costing, working capital management); (b) market access (eNAM, GeM, local mandis); (c) technology adoption (UPI payments, digital invoicing, social media marketing); (d) insurance (PM-JAY for health, crop/enterprise insurance); and (e) a legal identity (Udyam registration, GSTIN). PMMY operates in a convergence vacuum: none of these needs is systematically addressed through scheme linkages.</w:t>
      </w:r>
    </w:p>
    <w:p>
      <w:pPr>
        <w:pStyle w:val="Heading2"/>
        <w:spacing w:after="140" w:before="280"/>
      </w:pPr>
      <w:r>
        <w:rPr>
          <w:rFonts w:ascii="Arial" w:cs="Arial" w:eastAsia="Arial" w:hAnsi="Arial"/>
          <w:b/>
          <w:bCs/>
          <w:color w:val="2E75B6"/>
          <w:sz w:val="26"/>
          <w:szCs w:val="26"/>
        </w:rPr>
        <w:t xml:space="preserve">5.4  Data and Monitoring Gaps</w:t>
      </w:r>
    </w:p>
    <w:p>
      <w:pPr>
        <w:spacing w:after="120" w:before="80" w:line="288" w:lineRule="auto"/>
        <w:jc w:val="both"/>
      </w:pPr>
      <w:r>
        <w:rPr>
          <w:rFonts w:ascii="Arial" w:cs="Arial" w:eastAsia="Arial" w:hAnsi="Arial"/>
          <w:b w:val="false"/>
          <w:bCs w:val="false"/>
          <w:i w:val="false"/>
          <w:iCs w:val="false"/>
          <w:color w:val="000000"/>
          <w:sz w:val="22"/>
          <w:szCs w:val="22"/>
        </w:rPr>
        <w:t xml:space="preserve">The absence of a post-2018 nationally representative employment impact survey is a significant governance failure. Without this data, it is impossible to credibly claim PMMY's employment generation beyond projections. Additionally, the scheme does not track: enterprise graduation rates (Shishu to Kishore; Kishore to Tarun); enterprise survival rates beyond 3 years; disaggregated tribal (ST) borrower data; sector-wise performance (which activities succeed, which default); and geographic reach at the block and village level. The MUDRA portal collects aggregate data but lacks the granularity required for evidence-based policy adjustment.</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6.  Scheme Convergence Analysis</w:t>
      </w:r>
    </w:p>
    <w:p>
      <w:pPr>
        <w:pStyle w:val="Heading2"/>
        <w:spacing w:after="140" w:before="280"/>
      </w:pPr>
      <w:r>
        <w:rPr>
          <w:rFonts w:ascii="Arial" w:cs="Arial" w:eastAsia="Arial" w:hAnsi="Arial"/>
          <w:b/>
          <w:bCs/>
          <w:color w:val="2E75B6"/>
          <w:sz w:val="26"/>
          <w:szCs w:val="26"/>
        </w:rPr>
        <w:t xml:space="preserve">6.1  The MSME Ecosystem — Current Scheme Landscape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700"/>
        <w:gridCol w:w="2326"/>
      </w:tblGrid>
      <w:t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Scheme</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Ministry</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Outlay (₹ Cr, FY25)</w:t>
            </w:r>
          </w:p>
        </w:tc>
        <w:tc>
          <w:tcPr>
            <w:tcW w:type="dxa" w:w="17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Beneficiary</w:t>
            </w:r>
          </w:p>
        </w:tc>
        <w:tc>
          <w:tcPr>
            <w:tcW w:type="dxa" w:w="23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PMMY Overlap / Gap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PMMY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MoF / MoMSME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6,050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Micro-enterprise borrowers</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Anchor scheme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PMEGP</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 / KVIC</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New entrepreneurs (subsidy+credit)</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Overlap: both target micro-entrepreneurs; no joint database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Stand-Up India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MoF / SIDBI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SC/ST &amp; women for greenfield enterprise</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Gap: PMMY has no graduation pathway into Stand-Up India for growing borrowers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DAY-NRLM / SHG Bank Linkage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MoRD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Rural women SHGs</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Overlap: many SHG members also seek individual PMMY loans; no convergence mechanism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 Vishwakarma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Traditional artisans &amp; craftspersons</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Gap: Vishwakarma borrowers should graduate to Kishore via PMMY but linkage absent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PMKVY (Skilling)</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MoSDE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Youth seeking vocational skills</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 Gap: PMMY borrowers not linked to skill upgrade; financial illiteracy unaddressed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GeM / ONDC (Market Access)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MoC&amp;I / MeitY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Platform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Sellers / MSMEs</w:t>
            </w:r>
          </w:p>
        </w:tc>
        <w:tc>
          <w:tcPr>
            <w:tcW w:type="dxa" w:w="2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Gap: PMMY borrowers not onboarded to GeM/ONDC as sellers</w:t>
            </w:r>
          </w:p>
        </w:tc>
      </w:tr>
    </w:tbl>
    <w:p>
      <w:pPr>
        <w:spacing w:after="60" w:before="40"/>
        <w:jc w:val="both"/>
      </w:pPr>
      <w:r>
        <w:rPr>
          <w:rFonts w:ascii="Arial" w:cs="Arial" w:eastAsia="Arial" w:hAnsi="Arial"/>
          <w:i/>
          <w:iCs/>
          <w:color w:val="666666"/>
          <w:sz w:val="18"/>
          <w:szCs w:val="18"/>
        </w:rPr>
        <w:t xml:space="preserve">Sources: Union Budget 2025-26; MoMSME Annual Report 2024-25; NITI Aayog (2023).</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6.2  Convergence Recommendations</w:t>
      </w:r>
    </w:p>
    <w:p>
      <w:pPr>
        <w:spacing w:after="120" w:before="80" w:line="288" w:lineRule="auto"/>
        <w:jc w:val="both"/>
      </w:pPr>
      <w:r>
        <w:rPr>
          <w:rFonts w:ascii="Arial" w:cs="Arial" w:eastAsia="Arial" w:hAnsi="Arial"/>
          <w:b w:val="false"/>
          <w:bCs w:val="false"/>
          <w:i w:val="false"/>
          <w:iCs w:val="false"/>
          <w:color w:val="000000"/>
          <w:sz w:val="22"/>
          <w:szCs w:val="22"/>
        </w:rPr>
        <w:t xml:space="preserve">The most urgent convergence requirement is a Credit-Plus Model that links PMMY disbursals to: (i) Udyam registration (mandatory for Tarun and Tarun Plus borrowers within 3 months of loan disbursement); (ii) digital payment adoption (UPI merchant ID); (iii) PMKVY skill modules for financial literacy and enterprise management; and (iv) GeM/ONDC seller registration for product-based micro-enterprises. This convergence should be operationalised through a single 'Udyami Mitra' platform already in existence, with a dedicated PMMY-convergence dashboard at the district level.</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7.  International Comparisons and Best Practices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2000"/>
        <w:gridCol w:w="2026"/>
      </w:tblGrid>
      <w:tr>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Country</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Programme</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Design Feature</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NPA / Outcome</w:t>
            </w:r>
          </w:p>
        </w:tc>
        <w:tc>
          <w:tcPr>
            <w:tcW w:type="dxa" w:w="20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Lesson for PMMY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Bangladesh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Grameen Bank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Group lending; weekly repayment; mandatory savings; social collateral replaces financial collateral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&lt;5%; 97% women borrowers; 8.9M active borrowers</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Group liability and social collateral significantly reduce default rates — adapt for Shishu category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Indonesia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Kredit Usaha Rakyat (KUR)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Government-subsidised interest rate (6% for micro); partial credit guarantee; formal enterprise requirement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~3%; 50M+ beneficiaries; strong MSME formalisation</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Subsidised rate reduces debt burden; formalisation requirement (like Udyam) drives quality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Mexico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NAFIN SME Guarantee Programme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Risk-sharing: government provides 50% guarantee; MLI retains 50% risk — strong underwriting incentive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&lt;4%; leveraged ₹1 public investment to ₹4 private credit</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Partial guarantee (not full) maintains MLI credit assessment discipline — reform CGFMU accordingly</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Kenya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M-Pesa / M-Shwari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Mobile-first micro-credit; real-time creditworthiness from mobile transaction history; instant disbursal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~2%; 30M loans in 10 years; zero physical bank branch required</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India's UPI transaction history can serve as creditworthiness signal — develop MUDRA Credit Score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South Korea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Microcredit + Business Support (Sunshine Loan)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 mandatory business counselling; mentorship from retired executives; market linkage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Enterprise survival rate &gt;65% at 3 years; NPA &lt;4%</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alone insufficient; pair every Kishore+ loan with business development support</w:t>
            </w:r>
          </w:p>
        </w:tc>
      </w:tr>
    </w:tbl>
    <w:p>
      <w:pPr>
        <w:spacing w:after="60" w:before="40"/>
        <w:jc w:val="both"/>
      </w:pPr>
      <w:r>
        <w:rPr>
          <w:rFonts w:ascii="Arial" w:cs="Arial" w:eastAsia="Arial" w:hAnsi="Arial"/>
          <w:i/>
          <w:iCs/>
          <w:color w:val="666666"/>
          <w:sz w:val="18"/>
          <w:szCs w:val="18"/>
        </w:rPr>
        <w:t xml:space="preserve">Sources: Grameen Bank Annual Report 2024; World Bank MSME Finance Gap Report 2024; IFC (2023); OECD SME and Entrepreneurship Outlook 2024.</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8.  Political Economy Analysis</w:t>
      </w:r>
    </w:p>
    <w:p>
      <w:pPr>
        <w:pStyle w:val="Heading2"/>
        <w:spacing w:after="140" w:before="280"/>
      </w:pPr>
      <w:r>
        <w:rPr>
          <w:rFonts w:ascii="Arial" w:cs="Arial" w:eastAsia="Arial" w:hAnsi="Arial"/>
          <w:b/>
          <w:bCs/>
          <w:color w:val="2E75B6"/>
          <w:sz w:val="26"/>
          <w:szCs w:val="26"/>
        </w:rPr>
        <w:t xml:space="preserve">8.1  Reform Window: Why Now Is the Moment</w:t>
      </w:r>
    </w:p>
    <w:p>
      <w:pPr>
        <w:spacing w:after="120" w:before="80" w:line="288" w:lineRule="auto"/>
        <w:jc w:val="both"/>
      </w:pPr>
      <w:r>
        <w:rPr>
          <w:rFonts w:ascii="Arial" w:cs="Arial" w:eastAsia="Arial" w:hAnsi="Arial"/>
          <w:b w:val="false"/>
          <w:bCs w:val="false"/>
          <w:i w:val="false"/>
          <w:iCs w:val="false"/>
          <w:color w:val="000000"/>
          <w:sz w:val="22"/>
          <w:szCs w:val="22"/>
        </w:rPr>
        <w:t xml:space="preserve">PMMY's 10-year anniversary (April 2025) provided a natural policy review moment — capitalised upon by GOI through PIB data releases and PM Modi's public statement that PMMY's NPA rate is the lowest in the world for this segment (April 2025). This anniversary narrative creates a political reform window: the scheme is popular, its achievements are celebrated, and the NPA concern is partially acknowledged. This combination — a scheme with proven track record seeking to address known weaknesses — is politically far easier to reform than a scheme under crisis.</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The upcoming Union Budget 2026-27 and the 16th Finance Commission cycle (expected 2026) create additional fiscal windows. Recommendations that can be framed as 'PMMY 2.0' — building on a proven success rather than fixing a failure — will encounter minimal political resistance. The electoral calculus also favours reform: women borrowers (68% of PMMY) are a politically significant constituency across all party alignments; and NPA reduction directly reduces strain on PSBs, which are themselves politically sensitive institutions.</w:t>
      </w:r>
    </w:p>
    <w:p>
      <w:pPr>
        <w:pStyle w:val="Heading2"/>
        <w:spacing w:after="140" w:before="280"/>
      </w:pPr>
      <w:r>
        <w:rPr>
          <w:rFonts w:ascii="Arial" w:cs="Arial" w:eastAsia="Arial" w:hAnsi="Arial"/>
          <w:b/>
          <w:bCs/>
          <w:color w:val="2E75B6"/>
          <w:sz w:val="26"/>
          <w:szCs w:val="26"/>
        </w:rPr>
        <w:t xml:space="preserve">8.2  Stakeholder Power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 in PMMY</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Power</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w:t>
            </w:r>
          </w:p>
        </w:tc>
        <w:tc>
          <w:tcPr>
            <w:tcW w:type="dxa" w:w="26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Engagement Strategy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PMO / Cabinet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flagship scheme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Supporter</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Frame reform as 'PMMY 2.0' — building on legacy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Ministry of Finance (DFS)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fiscal + PSB health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Cautiously supportive</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Lead with NPA reduction; show fiscal savings from better credit quality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Ministry of MSME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scheme champion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Strong supporter</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Natural ally; engage to co-own convergence with PMEGP, Vishwakarma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PSBs (SBI, PNB, etc.)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Mixed — NPA burden vs target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Neutral-resistant</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Offer CGFMU fee relief + better guarantee terms in exchange for quality underwriting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NBFCs / MFIs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low NPA, growing market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Strong supporter</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Champion as model MLI; advocate for differentiated incentive structure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 Entrepreneurs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Very High — primary beneficiaries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Medium-high (electoral)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Beneficiary</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Centre communication strategy; Mahila Udyami Sammelan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SC/ST Borrowers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credit access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Beneficiary</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Targeted outreach; Ambedkar Jayanti and tribal days for scheme awareness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Opposition / Parliament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accountability focus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Scrutiny role</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Pre-empt with transparent NPA data; Parliamentary Standing Committee briefing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RBI / Banking Regulator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 systemic risk concern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Cautious</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Align NPA reform proposals with RBI's MSME restructuring framework</w:t>
            </w:r>
          </w:p>
        </w:tc>
      </w:tr>
    </w:tbl>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9.  Fiscal Analysis</w:t>
      </w:r>
    </w:p>
    <w:p>
      <w:pPr>
        <w:pStyle w:val="Heading2"/>
        <w:spacing w:after="140" w:before="280"/>
      </w:pPr>
      <w:r>
        <w:rPr>
          <w:rFonts w:ascii="Arial" w:cs="Arial" w:eastAsia="Arial" w:hAnsi="Arial"/>
          <w:b/>
          <w:bCs/>
          <w:color w:val="2E75B6"/>
          <w:sz w:val="26"/>
          <w:szCs w:val="26"/>
        </w:rPr>
        <w:t xml:space="preserve">9.1  Budget Architecture and Multi-Year Projections</w:t>
      </w:r>
    </w:p>
    <w:p>
      <w:pPr>
        <w:spacing w:after="120" w:before="80" w:line="288" w:lineRule="auto"/>
        <w:jc w:val="both"/>
      </w:pPr>
      <w:r>
        <w:rPr>
          <w:rFonts w:ascii="Arial" w:cs="Arial" w:eastAsia="Arial" w:hAnsi="Arial"/>
          <w:b w:val="false"/>
          <w:bCs w:val="false"/>
          <w:i w:val="false"/>
          <w:iCs w:val="false"/>
          <w:color w:val="000000"/>
          <w:sz w:val="22"/>
          <w:szCs w:val="22"/>
        </w:rPr>
        <w:t xml:space="preserve">PMMY is a Central Sector Scheme. The GOI's direct budgetary exposure is primarily through: (i) CGFMU corpus provisioning — the guarantee fund that covers MLI defaults on MUDRA loans; (ii) interest subvention on select categories (none currently, but proposed for NE/tribal borrowers); and (iii) MUDRA Ltd. operational expenses. Annual budget allocation was ₹6,050 crore in FY25-26 (Interim Budget 2025). The total NPA-related contingent liability on PSBs' MUDRA portfolios is estimated at ₹35,000–40,000 crore (outstanding basis, March 2025) — a systemic risk that the CGFMU must be adequately capitalised to absorb.</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300"/>
        <w:gridCol w:w="1313"/>
        <w:gridCol w:w="1313"/>
      </w:tblGrid>
      <w:tr>
        <w:tc>
          <w:tcPr>
            <w:tcW w:type="dxa" w:w="2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Fiscal Item</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FY23-24 (Actual)</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FY24-25 (RE)</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FY25-26 (BE)</w:t>
            </w:r>
          </w:p>
        </w:tc>
        <w:tc>
          <w:tcPr>
            <w:tcW w:type="dxa" w:w="1313"/>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FY26-27 (Proj.)</w:t>
            </w:r>
          </w:p>
        </w:tc>
        <w:tc>
          <w:tcPr>
            <w:tcW w:type="dxa" w:w="1313"/>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FY27-28 (Proj.)</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Total PMMY Disbursal (₹ lakh crore)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5.41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~4.91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~5.5</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~6.5</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GOI Budget Allocation (₹ crore)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6,050</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7,500 (est.)</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8,500 (est.)</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CGFMU Corpus (₹ crore, cumulative)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~22,000</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~27,000</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~33,000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Contingent NPA Liability (₹ crore, est.)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~28,000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~40,000</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~45,000 (if unreformed)</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~35,000 (if reformed)</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Per-Loan Govt. Cost (₹, estimated)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~140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~126</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~110</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~125</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Recovery (₹ crore, PSBs)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Very low (&lt;5%)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Very low</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Very low</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15%</w:t>
            </w:r>
          </w:p>
        </w:tc>
        <w:tc>
          <w:tcPr>
            <w:tcW w:type="dxa" w:w="13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Target: 25%</w:t>
            </w:r>
          </w:p>
        </w:tc>
      </w:tr>
    </w:tbl>
    <w:p>
      <w:pPr>
        <w:spacing w:after="60" w:before="40"/>
        <w:jc w:val="both"/>
      </w:pPr>
      <w:r>
        <w:rPr>
          <w:rFonts w:ascii="Arial" w:cs="Arial" w:eastAsia="Arial" w:hAnsi="Arial"/>
          <w:i/>
          <w:iCs/>
          <w:color w:val="666666"/>
          <w:sz w:val="18"/>
          <w:szCs w:val="18"/>
        </w:rPr>
        <w:t xml:space="preserve">Sources: Union Budget documents FY24-25, FY25-26; Finance Minister's Rajya Sabha reply (August 2025); NITI Aayog-KPMG (2023). Projections are author's estimates based on scheme growth CAGR of 8–10%.</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9.2  Cost-Benefit Assessment</w:t>
      </w:r>
    </w:p>
    <w:p>
      <w:pPr>
        <w:spacing w:after="120" w:before="80" w:line="288" w:lineRule="auto"/>
        <w:jc w:val="both"/>
      </w:pPr>
      <w:r>
        <w:rPr>
          <w:rFonts w:ascii="Arial" w:cs="Arial" w:eastAsia="Arial" w:hAnsi="Arial"/>
          <w:b w:val="false"/>
          <w:bCs w:val="false"/>
          <w:i w:val="false"/>
          <w:iCs w:val="false"/>
          <w:color w:val="000000"/>
          <w:sz w:val="22"/>
          <w:szCs w:val="22"/>
        </w:rPr>
        <w:t xml:space="preserve">The social return on PMMY investment is highly favourable. If the MoLE (2018) employment generation ratio (1.2 net jobs per loan, at Shishu level) is applied conservatively to FY25 loan accounts, PMMY may have generated 5–6 crore net employment opportunities over its decade. At India's average rural wage of ₹300–350 per day and 250 working days per year, each net job generates annual income of ₹75,000–87,500. For 5 crore jobs, the annual income generated is ₹3.75–4.4 lakh crore — representing a Social Return on Investment (SROI) of 11–13× for every rupee of government budgetary support. Even discounted for NPA losses, the fiscal calculus strongly favours scheme continuation and reform over closure or contraction.</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10.  Social Inclusion and Tribal / Gender Analysis</w:t>
      </w:r>
    </w:p>
    <w:p>
      <w:pPr>
        <w:pStyle w:val="Heading2"/>
        <w:spacing w:after="140" w:before="280"/>
      </w:pPr>
      <w:r>
        <w:rPr>
          <w:rFonts w:ascii="Arial" w:cs="Arial" w:eastAsia="Arial" w:hAnsi="Arial"/>
          <w:b/>
          <w:bCs/>
          <w:color w:val="2E75B6"/>
          <w:sz w:val="26"/>
          <w:szCs w:val="26"/>
        </w:rPr>
        <w:t xml:space="preserve">10.1  Gender Analysis</w:t>
      </w:r>
    </w:p>
    <w:p>
      <w:pPr>
        <w:spacing w:after="120" w:before="80" w:line="288" w:lineRule="auto"/>
        <w:jc w:val="both"/>
      </w:pPr>
      <w:r>
        <w:rPr>
          <w:rFonts w:ascii="Arial" w:cs="Arial" w:eastAsia="Arial" w:hAnsi="Arial"/>
          <w:b w:val="false"/>
          <w:bCs w:val="false"/>
          <w:i w:val="false"/>
          <w:iCs w:val="false"/>
          <w:color w:val="000000"/>
          <w:sz w:val="22"/>
          <w:szCs w:val="22"/>
        </w:rPr>
        <w:t xml:space="preserve">PMMY's gender inclusion profile is one of the most impressive of any government financial programme globally. With 68% of accounts held by women, the scheme has demonstrably democratised access to institutional credit for women micro-entrepreneurs. The CAGR of 13% in per-woman loan disbursement between FY16 and FY25 indicates genuine enterprise deepening, not just account proliferation. States with higher women's PMMY disbursement shares have recorded significantly higher women-led MSME employment generation (PIB, April 2025).</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However, three gender gaps persist. First, women's share of value disbursed (48% of total value in FY23) is substantially lower than their share of accounts (68%) — indicating that women are disproportionately concentrated in the lower Shishu and Kishore categories and are under-represented in the higher-value Tarun and Tarun Plus categories. Second, there is no systematic financial literacy or business development support for women borrowers — a gap that disproportionately affects women with low prior business exposure. Third, loan disbursals flow primarily to women in urban and peri-urban areas; rural women in tribal districts remain deeply underserved.</w:t>
      </w:r>
    </w:p>
    <w:p>
      <w:pPr>
        <w:pStyle w:val="Heading2"/>
        <w:spacing w:after="140" w:before="280"/>
      </w:pPr>
      <w:r>
        <w:rPr>
          <w:rFonts w:ascii="Arial" w:cs="Arial" w:eastAsia="Arial" w:hAnsi="Arial"/>
          <w:b/>
          <w:bCs/>
          <w:color w:val="2E75B6"/>
          <w:sz w:val="26"/>
          <w:szCs w:val="26"/>
        </w:rPr>
        <w:t xml:space="preserve">10.2  Tribal Inclusion Assessment</w:t>
      </w:r>
    </w:p>
    <w:p>
      <w:pPr>
        <w:spacing w:after="120" w:before="80" w:line="288" w:lineRule="auto"/>
        <w:jc w:val="both"/>
      </w:pPr>
      <w:r>
        <w:rPr>
          <w:rFonts w:ascii="Arial" w:cs="Arial" w:eastAsia="Arial" w:hAnsi="Arial"/>
          <w:b w:val="false"/>
          <w:bCs w:val="false"/>
          <w:i w:val="false"/>
          <w:iCs w:val="false"/>
          <w:color w:val="000000"/>
          <w:sz w:val="22"/>
          <w:szCs w:val="22"/>
        </w:rPr>
        <w:t xml:space="preserve">The most serious inclusion gap in PMMY is the absence of dedicated tribal (ST) beneficiary tracking. Unlike PM-KISAN or PM Awas Yojana which report SC/ST coverage separately, PMMY's MLI reporting does not disaggregate ST borrowers as a distinct category — making it impossible to assess whether Scheduled Area populations are receiving proportionate credit access. This is a governance failure that must be rectified.</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Field evidence from Odisha's tribal districts — including Malkangiri, which has a 58% ST population — suggests that PMMY penetration in PVTG (Particularly Vulnerable Tribal Group) areas is extremely low. Structural barriers include: absence of banking correspondents (BCs) in forest villages; biometric authentication failures due to worn fingerprints among manual labourers; cultural and language barriers with bank staff; lack of Udyam registration awareness; and CIBIL data absence (no credit history) leading to automatic rejection at the application stage.</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Five dedicated interventions are required for tribal micro-entrepreneurs: (i) BC network expansion in Fifth Schedule areas with at least one BC per panchayat; (ii) face/iris authentication as primary KYC mode (in place of fingerprints); (iii) Gram Sabha-based community creditworthiness verification as substitute for CIBIL history; (iv) tribal-language MUDRA application forms and awareness material; and (v) dedicated PVTG credit window under Shishu category with CGFMU full cover and interest subvention of 3%.</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11.  SDG and Viksit Bharat 2047 Alignment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800"/>
        <w:gridCol w:w="2000"/>
        <w:gridCol w:w="2426"/>
      </w:tblGrid>
      <w:tr>
        <w:tc>
          <w:tcPr>
            <w:tcW w:type="dxa" w:w="1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SDG</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SDG Target</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India's Current Status</w:t>
            </w:r>
          </w:p>
        </w:tc>
        <w:tc>
          <w:tcPr>
            <w:tcW w:type="dxa" w:w="24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PMMY Reform Contribution</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Quality Reform</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8.3 — Decent work &amp; growth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MSME sector at 30% GDP; needs quality credit to scale</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Reduces NPA; sustains MLI willingness to lend; more quality enterprises created</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Tribal Credit Window</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10.2 — Inclusion of all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 poverty: 50.6% vs national 21.9% (MPI 2021)</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Closes credit access gap for ~12 crore ST population; reduces inequality</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 Entrepreneur Graduation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5.a — Financial services for women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 LFPR 37% (PLFS 2023); gender credit gap persists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Promotes women's economic autonomy; women graduating to Tarun/Tarun Plus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Convergence with PMKVY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4.4 — Skills for employment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Financial literacy among micro-borrowers very low (NITI Aayog, 2023)</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Reduces NPA via improved business management; raises enterprise survival rate</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Northeast Deepening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10.3 — Equal opportunity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 accounts only ~4% of PMMY disbursals since 2015</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Addresses regional inequality; expands credit frontier to underserved geographies</w:t>
            </w:r>
          </w:p>
        </w:tc>
      </w:tr>
      <w:t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Digital MUDRA Score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9.3 — SMEs access to finance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 micro-enterprises unbanked pre-PMMY; improving</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UPI-based creditworthiness scoring expands frontier without collateral requirement</w:t>
            </w:r>
          </w:p>
        </w:tc>
      </w:tr>
    </w:tbl>
    <w:p>
      <w:pPr>
        <w:spacing w:after="60" w:before="40"/>
        <w:jc w:val="both"/>
      </w:pPr>
      <w:r>
        <w:rPr>
          <w:rFonts w:ascii="Arial" w:cs="Arial" w:eastAsia="Arial" w:hAnsi="Arial"/>
          <w:i/>
          <w:iCs/>
          <w:color w:val="666666"/>
          <w:sz w:val="18"/>
          <w:szCs w:val="18"/>
        </w:rPr>
        <w:t xml:space="preserve">Sources: NITI Aayog SDG India Index 2023-24; MPI India 2021 (NITI Aayog / UNDP); PLFS 2023-24.</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PMMY's reform directly advances Viksit Bharat 2047's economic pillar: India requires a GDP of USD 30 trillion and per capita income exceeding USD 20,000 by 2047. A vibrant, formalised micro-enterprise sector is essential to this ambition. With 6.33 crore MSME units — the vast majority micro-enterprises — PMMY is the primary policy instrument for upgrading this base. A reformed PMMY that reduces NPAs, deepens geographic inclusion, and converges with skilling and market access is a necessary condition, not a sufficient one, for Viksit Bharat's economic targets.</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12.  Recommendations: PMMY 2.0 Reform Architecture</w:t>
      </w:r>
    </w:p>
    <w:p>
      <w:pPr>
        <w:spacing w:after="120" w:before="80" w:line="288" w:lineRule="auto"/>
        <w:jc w:val="both"/>
      </w:pPr>
      <w:r>
        <w:rPr>
          <w:rFonts w:ascii="Arial" w:cs="Arial" w:eastAsia="Arial" w:hAnsi="Arial"/>
          <w:b w:val="false"/>
          <w:bCs w:val="false"/>
          <w:i w:val="false"/>
          <w:iCs w:val="false"/>
          <w:color w:val="000000"/>
          <w:sz w:val="22"/>
          <w:szCs w:val="22"/>
        </w:rPr>
        <w:t xml:space="preserve">The following four-pillar reform framework is recommended for PMMY's second decade (FY26-FY35). Each recommendation is specific, actionable, assigned to a responsible ministry, and costed.</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 1: Launch a Credit Quality Restoration Mission: Restructure MLI Incentives and Reform CGFMU</w:t>
            </w:r>
          </w:p>
        </w:tc>
      </w:tr>
      <w:tr>
        <w:tc>
          <w:tcPr>
            <w:tcW w:type="dxa" w:w="9026"/>
            <w:tcBorders>
              <w:top w:val="single" w:color="2E75B6" w:sz="4"/>
              <w:left w:val="single" w:color="2E75B6" w:sz="4"/>
              <w:bottom w:val="single" w:color="2E75B6" w:sz="4"/>
              <w:right w:val="single" w:color="2E75B6" w:sz="4"/>
            </w:tcBorders>
            <w:shd w:fill="EBF0F7" w:val="clear"/>
            <w:tcMar>
              <w:top w:type="dxa" w:w="120"/>
              <w:left w:type="dxa" w:w="160"/>
              <w:bottom w:type="dxa" w:w="120"/>
              <w:right w:type="dxa" w:w="120"/>
            </w:tcMar>
          </w:tcPr>
          <w:p>
            <w:pPr>
              <w:spacing w:after="120" w:before="80" w:line="288" w:lineRule="auto"/>
              <w:jc w:val="both"/>
            </w:pPr>
            <w:r>
              <w:rPr>
                <w:rFonts w:ascii="Arial" w:cs="Arial" w:eastAsia="Arial" w:hAnsi="Arial"/>
                <w:b w:val="false"/>
                <w:bCs w:val="false"/>
                <w:i w:val="false"/>
                <w:iCs w:val="false"/>
                <w:color w:val="000000"/>
                <w:sz w:val="22"/>
                <w:szCs w:val="22"/>
              </w:rPr>
              <w:t xml:space="preserve">Replace the current volume-only MLI target system with a dual-performance metric: 70% weight on disbursement targets and 30% weight on NPA rate within MUDRA portfolio (target: NPA &lt;5% for PSBs within 3 years). MLIs exceeding quality targets receive preferential refinancing rates from MUDRA Ltd. Reform CGFMU guarantee fee from 1% flat to a risk-adjusted sliding scale (0.5% for NPA rate &lt;3%; 1% for 3–5%; 1.5% for &gt;5%) — incentivising PSBs to underwrite rigorously. Mandate that all Kishore and Tarun loans receive CIBIL Plus assessment supplemented by UPI transaction history analysis (MUDRA Digital Credit Score — to be developed jointly by MUDRA Ltd. and NPCI). Shishu loans may continue with Gram Sabha community creditworthiness certificate as primary assessment, reducing CIBIL rejection rates for genuinely underserved borrowers.</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Ministry of Finance (DFS) + RBI + SIDBI / MUDRA Ltd.</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FY26-27 (within 12 months)</w:t>
            </w:r>
            <w:r>
              <w:rPr>
                <w:rFonts w:ascii="Arial" w:cs="Arial" w:eastAsia="Arial" w:hAnsi="Arial"/>
                <w:b/>
                <w:bCs/>
                <w:color w:val="1F3864"/>
                <w:sz w:val="20"/>
                <w:szCs w:val="20"/>
              </w:rPr>
              <w:t xml:space="preserve">   |   Budget Implication: </w:t>
            </w:r>
            <w:r>
              <w:rPr>
                <w:rFonts w:ascii="Arial" w:cs="Arial" w:eastAsia="Arial" w:hAnsi="Arial"/>
                <w:color w:val="000000"/>
                <w:sz w:val="20"/>
                <w:szCs w:val="20"/>
              </w:rPr>
              <w:t xml:space="preserve">₹2,000–3,000 crore additional CGFMU capitalisation; no new budget required for incentive restructuring</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 2: Deploy a Last-Mile Deepening Strategy for Northeast, Tribal Districts, and Aspirational Districts</w:t>
            </w:r>
          </w:p>
        </w:tc>
      </w:tr>
      <w:tr>
        <w:tc>
          <w:tcPr>
            <w:tcW w:type="dxa" w:w="9026"/>
            <w:tcBorders>
              <w:top w:val="single" w:color="2E75B6" w:sz="4"/>
              <w:left w:val="single" w:color="2E75B6" w:sz="4"/>
              <w:bottom w:val="single" w:color="2E75B6" w:sz="4"/>
              <w:right w:val="single" w:color="2E75B6" w:sz="4"/>
            </w:tcBorders>
            <w:shd w:fill="EBF0F7" w:val="clear"/>
            <w:tcMar>
              <w:top w:type="dxa" w:w="120"/>
              <w:left w:type="dxa" w:w="160"/>
              <w:bottom w:type="dxa" w:w="120"/>
              <w:right w:type="dxa" w:w="120"/>
            </w:tcMar>
          </w:tcPr>
          <w:p>
            <w:pPr>
              <w:spacing w:after="120" w:before="80" w:line="288" w:lineRule="auto"/>
              <w:jc w:val="both"/>
            </w:pPr>
            <w:r>
              <w:rPr>
                <w:rFonts w:ascii="Arial" w:cs="Arial" w:eastAsia="Arial" w:hAnsi="Arial"/>
                <w:b w:val="false"/>
                <w:bCs w:val="false"/>
                <w:i w:val="false"/>
                <w:iCs w:val="false"/>
                <w:color w:val="000000"/>
                <w:sz w:val="22"/>
                <w:szCs w:val="22"/>
              </w:rPr>
              <w:t xml:space="preserve">Set a mandatory sub-target of 10% of annual PMMY disbursals for Northeast states (up from ~4%) and 8% for Fifth Schedule (tribal) districts — with dedicated CGFMU full-cover and 3% interest subvention for ST borrowers in Shishu category. Deploy Banking Correspondent (BC) agents in every panchayat of Fifth Schedule areas through a partnership with CSC e-Governance Services Ltd. and IRDAI-regulated insurance intermediaries. Replace fingerprint-based eKYC with face/iris authentication as primary mode for tribal borrowers, using UIDAI's facial authentication infrastructure. Create a Tribal MUDRA Mitra (district-level entrepreneurship facilitator) in each tribal-dominant district — a trained field agent who assists with Udyam registration, loan application, and business plan preparation.</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Ministry of MSME + Ministry of Finance + Ministry of Tribal Affairs + SIDBI</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FY26-27 to FY27-28 (24-month rollout)</w:t>
            </w:r>
            <w:r>
              <w:rPr>
                <w:rFonts w:ascii="Arial" w:cs="Arial" w:eastAsia="Arial" w:hAnsi="Arial"/>
                <w:b/>
                <w:bCs/>
                <w:color w:val="1F3864"/>
                <w:sz w:val="20"/>
                <w:szCs w:val="20"/>
              </w:rPr>
              <w:t xml:space="preserve">   |   Budget Implication: </w:t>
            </w:r>
            <w:r>
              <w:rPr>
                <w:rFonts w:ascii="Arial" w:cs="Arial" w:eastAsia="Arial" w:hAnsi="Arial"/>
                <w:color w:val="000000"/>
                <w:sz w:val="20"/>
                <w:szCs w:val="20"/>
              </w:rPr>
              <w:t xml:space="preserve">₹1,500 crore for BC network expansion + ₹800 crore for 3% interest subvention on tribal Shishu loans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 3: Build an Integrated Micro-Entrepreneur Ecosystem: Converge PMMY with Skilling, Market Access, and Social Protection</w:t>
            </w:r>
          </w:p>
        </w:tc>
      </w:tr>
      <w:tr>
        <w:tc>
          <w:tcPr>
            <w:tcW w:type="dxa" w:w="9026"/>
            <w:tcBorders>
              <w:top w:val="single" w:color="2E75B6" w:sz="4"/>
              <w:left w:val="single" w:color="2E75B6" w:sz="4"/>
              <w:bottom w:val="single" w:color="2E75B6" w:sz="4"/>
              <w:right w:val="single" w:color="2E75B6" w:sz="4"/>
            </w:tcBorders>
            <w:shd w:fill="EBF0F7" w:val="clear"/>
            <w:tcMar>
              <w:top w:type="dxa" w:w="120"/>
              <w:left w:type="dxa" w:w="160"/>
              <w:bottom w:type="dxa" w:w="120"/>
              <w:right w:type="dxa" w:w="120"/>
            </w:tcMar>
          </w:tcPr>
          <w:p>
            <w:pPr>
              <w:spacing w:after="120" w:before="80" w:line="288" w:lineRule="auto"/>
              <w:jc w:val="both"/>
            </w:pPr>
            <w:r>
              <w:rPr>
                <w:rFonts w:ascii="Arial" w:cs="Arial" w:eastAsia="Arial" w:hAnsi="Arial"/>
                <w:b w:val="false"/>
                <w:bCs w:val="false"/>
                <w:i w:val="false"/>
                <w:iCs w:val="false"/>
                <w:color w:val="000000"/>
                <w:sz w:val="22"/>
                <w:szCs w:val="22"/>
              </w:rPr>
              <w:t xml:space="preserve">Mandate that all Kishore and Tarun MUDRA borrowers: (i) complete a PMKVY-aligned 5-day Financial Literacy and Enterprise Management Module within 6 months of loan disbursement (online via DIKSHA platform); (ii) obtain Udyam registration within 3 months; (iii) register on GeM or ONDC as a seller if product-based. Integrate the MUDRA portal with PM Vishwakarma, PMEGP, Stand-Up India, and DAY-NRLM databases to create a Unified MSME Borrower ID — enabling cross-scheme benefits without duplication. Offer PM-JAY health coverage auto-enrollment to all MUDRA borrowers without existing health cover — ensuring enterprise sustainability is not disrupted by medical expenditure shocks. Design a graduation pathway: documented Shishu repayment → Kishore pre-approval; documented Kishore repayment → Tarun pre-approval — removing the need for borrowers to restart the credit assessment process from zero.</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Ministry of MSME + Ministry of Skill Development + MeitY + Ministry of Commerce</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FY26-27 (policy design) + FY27-28 (technology integration)</w:t>
            </w:r>
            <w:r>
              <w:rPr>
                <w:rFonts w:ascii="Arial" w:cs="Arial" w:eastAsia="Arial" w:hAnsi="Arial"/>
                <w:b/>
                <w:bCs/>
                <w:color w:val="1F3864"/>
                <w:sz w:val="20"/>
                <w:szCs w:val="20"/>
              </w:rPr>
              <w:t xml:space="preserve">   |   Budget Implication: </w:t>
            </w:r>
            <w:r>
              <w:rPr>
                <w:rFonts w:ascii="Arial" w:cs="Arial" w:eastAsia="Arial" w:hAnsi="Arial"/>
                <w:color w:val="000000"/>
                <w:sz w:val="20"/>
                <w:szCs w:val="20"/>
              </w:rPr>
              <w:t xml:space="preserve">₹500 crore (platform integration and convergence infrastructure); uses existing scheme budgets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 4: Establish a Gender and Social Equity Acceleration Framework within PMMY</w:t>
            </w:r>
          </w:p>
        </w:tc>
      </w:tr>
      <w:tr>
        <w:tc>
          <w:tcPr>
            <w:tcW w:type="dxa" w:w="9026"/>
            <w:tcBorders>
              <w:top w:val="single" w:color="2E75B6" w:sz="4"/>
              <w:left w:val="single" w:color="2E75B6" w:sz="4"/>
              <w:bottom w:val="single" w:color="2E75B6" w:sz="4"/>
              <w:right w:val="single" w:color="2E75B6" w:sz="4"/>
            </w:tcBorders>
            <w:shd w:fill="EBF0F7" w:val="clear"/>
            <w:tcMar>
              <w:top w:type="dxa" w:w="120"/>
              <w:left w:type="dxa" w:w="160"/>
              <w:bottom w:type="dxa" w:w="120"/>
              <w:right w:type="dxa" w:w="120"/>
            </w:tcMar>
          </w:tcPr>
          <w:p>
            <w:pPr>
              <w:spacing w:after="120" w:before="80" w:line="288" w:lineRule="auto"/>
              <w:jc w:val="both"/>
            </w:pPr>
            <w:r>
              <w:rPr>
                <w:rFonts w:ascii="Arial" w:cs="Arial" w:eastAsia="Arial" w:hAnsi="Arial"/>
                <w:b w:val="false"/>
                <w:bCs w:val="false"/>
                <w:i w:val="false"/>
                <w:iCs w:val="false"/>
                <w:color w:val="000000"/>
                <w:sz w:val="22"/>
                <w:szCs w:val="22"/>
              </w:rPr>
              <w:t xml:space="preserve">Set disaggregated targets: women's share of value disbursed (not just accounts) to reach 60% by FY28 (from current ~48%); ST borrower share to reach 10% of total accounts by FY28; Tarun/Tarun Plus category to have 40% women borrowers by FY28. Create a Mahila MUDRA Saheli programme — linking SHG women who have successfully repaid loans to peer-mentoring of new women borrowers in the same cluster, reducing financial illiteracy and default rates simultaneously. Separately track and report ST, SC, OBC, women, PwD, and NE borrower data in all MUDRA Ltd. annual reports and Parliamentary Standing Committee submissions. Commission a nationally representative PMMY Impact Survey every 3 years — covering employment, income, enterprise survival, graduation rates, and social inclusion — to provide the evidence base for ongoing policy adjustment.</w:t>
            </w:r>
          </w:p>
          <w:p>
            <w:pPr>
              <w:spacing w:after="0" w:before="60"/>
            </w:pPr>
            <w:r>
              <w:t xml:space="preserve"/>
            </w:r>
          </w:p>
          <w:p>
            <w:pPr>
              <w:spacing w:after="20" w:before="20"/>
            </w:pPr>
            <w:r>
              <w:rPr>
                <w:rFonts w:ascii="Arial" w:cs="Arial" w:eastAsia="Arial" w:hAnsi="Arial"/>
                <w:b/>
                <w:bCs/>
                <w:color w:val="1F3864"/>
                <w:sz w:val="20"/>
                <w:szCs w:val="20"/>
              </w:rPr>
              <w:t xml:space="preserve">Responsible: </w:t>
            </w:r>
            <w:r>
              <w:rPr>
                <w:rFonts w:ascii="Arial" w:cs="Arial" w:eastAsia="Arial" w:hAnsi="Arial"/>
                <w:color w:val="000000"/>
                <w:sz w:val="20"/>
                <w:szCs w:val="20"/>
              </w:rPr>
              <w:t xml:space="preserve">Ministry of MSME + Ministry of Women &amp; Child Development + Ministry of Tribal Affairs</w:t>
            </w:r>
            <w:r>
              <w:rPr>
                <w:rFonts w:ascii="Arial" w:cs="Arial" w:eastAsia="Arial" w:hAnsi="Arial"/>
                <w:b/>
                <w:bCs/>
                <w:color w:val="1F3864"/>
                <w:sz w:val="20"/>
                <w:szCs w:val="20"/>
              </w:rPr>
              <w:t xml:space="preserve">   |   Timeline: </w:t>
            </w:r>
            <w:r>
              <w:rPr>
                <w:rFonts w:ascii="Arial" w:cs="Arial" w:eastAsia="Arial" w:hAnsi="Arial"/>
                <w:color w:val="000000"/>
                <w:sz w:val="20"/>
                <w:szCs w:val="20"/>
              </w:rPr>
              <w:t xml:space="preserve">FY26-27 onwards (annual review)</w:t>
            </w:r>
            <w:r>
              <w:rPr>
                <w:rFonts w:ascii="Arial" w:cs="Arial" w:eastAsia="Arial" w:hAnsi="Arial"/>
                <w:b/>
                <w:bCs/>
                <w:color w:val="1F3864"/>
                <w:sz w:val="20"/>
                <w:szCs w:val="20"/>
              </w:rPr>
              <w:t xml:space="preserve">   |   Budget Implication: </w:t>
            </w:r>
            <w:r>
              <w:rPr>
                <w:rFonts w:ascii="Arial" w:cs="Arial" w:eastAsia="Arial" w:hAnsi="Arial"/>
                <w:color w:val="000000"/>
                <w:sz w:val="20"/>
                <w:szCs w:val="20"/>
              </w:rPr>
              <w:t xml:space="preserve">₹400–600 crore (women entrepreneurship support infrastructure); within existing MoWCD and MoMSME budgets</w:t>
            </w:r>
          </w:p>
        </w:tc>
      </w:tr>
    </w:tbl>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13.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600"/>
        <w:gridCol w:w="1626"/>
      </w:tblGrid>
      <w:tr>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Actions</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Lead Agency</w:t>
            </w:r>
          </w:p>
        </w:tc>
        <w:tc>
          <w:tcPr>
            <w:tcW w:type="dxa" w:w="1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16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0
Foundation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Cabinet Note on PMMY 2.0 reform; inter-ministerial task force constituted; CGFMU actuarial review commissioned; MLI consultation initiated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MoF (DFS) + MoMSME + Cabinet Secretariat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 months (Q3 FY26)</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Cabinet approval; MUDRA 2.0 Task Force constituted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1
Credit Quality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Dual-performance MLI metrics notified; CGFMU fee restructuring; MUDRA Digital Credit Score (UPI-based) piloted in 5 states; PSB-specific NPA reduction plans submitted to RBI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Ltd. + RBI + NPCI + SIDBI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3–12 months (FY27)</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MLI quality metric live; MUDRA Digital Credit Score piloted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2
Inclusion Deepening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BC network expanded to tribal panchayats; face/iris eKYC deployed in tribal districts; Tribal MUDRA Mitra appointed in 100 tribal districts; NE sub-target notified; interest subvention operative for tribal Shishu loans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 + MoTA + UIDAI + CSC e-Gov.</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6–18 months (FY27)</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BC in 5,000 tribal panchayats; 50 lakh ST borrower accounts opened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3
Ecosystem Integration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Unified MSME Borrower ID live; DIKSHA financial literacy module mandatory for Kishore+; GeM/ONDC integration; Stand-Up India graduation pathway; PM-JAY auto-enrollment; Mahila MUDRA Saheli launched in 200 districts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 + MeitY + MoC&amp;I + MoHFW + MoWCD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12–30 months (FY27-28)</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crore borrowers on Udyam; 50 lakh on GeM/ONDC; PMKVY completion tracked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Phase 4
Sustainability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First PMMY 2.0 Impact Survey (national, representative); annual disaggregated inclusion report; NPA rate target review; Tarun Plus uptake assessment; Standing Committee review</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NITI Aayog + MoMSME + MUDRA Ltd.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30–48 months (FY28-29)</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rate &lt;6%; ST share &gt;8%; women value share &gt;55%</w:t>
            </w:r>
          </w:p>
        </w:tc>
      </w:tr>
    </w:tbl>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14.  Success Metrics and KPI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400"/>
        <w:gridCol w:w="1726"/>
      </w:tblGrid>
      <w:tr>
        <w:tc>
          <w:tcPr>
            <w:tcW w:type="dxa" w:w="26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(FY25)</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Target</w:t>
            </w:r>
          </w:p>
        </w:tc>
        <w:tc>
          <w:tcPr>
            <w:tcW w:type="dxa" w:w="1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 Target</w:t>
            </w:r>
          </w:p>
        </w:tc>
        <w:tc>
          <w:tcPr>
            <w:tcW w:type="dxa" w:w="1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Source</w:t>
            </w:r>
          </w:p>
        </w:tc>
        <w:tc>
          <w:tcPr>
            <w:tcW w:type="dxa" w:w="17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SDG Link</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Annual loans disbursed (crore)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4.79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Portal</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8.3</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rate on outstanding (SCBs, %)</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9.81%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RBI / MoF Rajya Sabha</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8.10</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Women's share of value disbursed (%)</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Annual Report</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5.a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 borrower share of accounts (%)</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tracked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Track + 4%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Ltd. (new reporting)</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10.2</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Northeast disbursal share (%)</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Portal</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10.3</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Tarun Plus loans sanctioned (lakh)</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Nascent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Portal</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8.3</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Borrowers with Udyam registration (%)</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&lt;10% (est.)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70%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 / Udyam Portal</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8.3</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BC agents in tribal panchayats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&lt;30% coverage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 of tribal GPs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95% of tribal GPs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 / CSC</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10.2</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Enterprise survival rate at 3 years (%)</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measured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Establish baseline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&gt;55%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PMMY Impact Survey</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8.3</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Net employment generated (crore, 3-yr)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1.12 crore (2015–18 only)</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Survey commissioned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crore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MoLE national survey</w:t>
            </w:r>
          </w:p>
        </w:tc>
        <w:tc>
          <w:tcPr>
            <w:tcW w:type="dxa" w:w="17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SDG 8.5</w:t>
            </w:r>
          </w:p>
        </w:tc>
      </w:tr>
    </w:tbl>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15.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2400"/>
        <w:gridCol w:w="2626"/>
      </w:tblGrid>
      <w:tr>
        <w:tc>
          <w:tcPr>
            <w:tcW w:type="dxa" w:w="2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c>
          <w:tcPr>
            <w:tcW w:type="dxa" w:w="26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PSB resistance to dual-metric (quality+quantity) targets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Negotiate with IBA; offer CGFMU fee incentive for compliant banks; RBI supervisory direction</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MoF (DFS) + RBI + IBA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acceleration due to macro shock (recession, crop failure)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CGFMU recapitalisation trigger mechanism; automatic loan restructuring window for PMMY borrowers during notified disaster events</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MoF + RBI + MUDRA Ltd.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Tribal inclusion targets missed due to infrastructure gaps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Ring-fence BC deployment fund; make tribal GP BC coverage a DMPQ target for state governments; UIDAI fast-track facial auth rollout</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MoMSME + MoTA + UIDAI</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Convergence platform delayed due to inter-ministry coordination failure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PMO-level PMMY 2.0 Task Force with 90-day reporting cycle; digital integration on existing Udyami Mitra platform to avoid new system build</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PMO + MoMSME + MeitY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Tarun Plus under-uptake — awareness and eligibility gaps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Pro-active outreach to Tarun borrowers with repayment history; digital notification via MUDRA portal; bank branch-level target</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MUDRA Ltd. + PSBs + MoMSME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Political pressure to relax NPA targets before elections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Institutionalise quality targets in MUDRA Ltd. board mandate and RBI supervisory framework — beyond political cycle</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RBI + Cabinet Secretariat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Financial literacy module non-completion by borrowers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9A84C"/>
                <w:sz w:val="20"/>
                <w:szCs w:val="20"/>
              </w:rPr>
              <w:t xml:space="preserve">Medium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Make module completion a condition for interest subvention (incentive), not loan disbursement (deterrent); short 5-day online / IVR format</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MoSDE + MoMSME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Impact survey not commissioned or politically suppressed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75623"/>
                <w:sz w:val="20"/>
                <w:szCs w:val="20"/>
              </w:rPr>
              <w:t xml:space="preserve">Low-Medium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High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Mandate 3-yearly survey in PMMY scheme guidelines; assign to NITI Aayog with independent third-party implementation</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NITI Aayog + MoMSME</w:t>
            </w:r>
          </w:p>
        </w:tc>
      </w:tr>
    </w:tbl>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16.  Conclusion</w:t>
      </w:r>
    </w:p>
    <w:p>
      <w:pPr>
        <w:spacing w:after="120" w:before="80" w:line="288" w:lineRule="auto"/>
        <w:jc w:val="both"/>
      </w:pPr>
      <w:r>
        <w:rPr>
          <w:rFonts w:ascii="Arial" w:cs="Arial" w:eastAsia="Arial" w:hAnsi="Arial"/>
          <w:b w:val="false"/>
          <w:bCs w:val="false"/>
          <w:i w:val="false"/>
          <w:iCs w:val="false"/>
          <w:color w:val="000000"/>
          <w:sz w:val="22"/>
          <w:szCs w:val="22"/>
        </w:rPr>
        <w:t xml:space="preserve">PM Mudra Yojana is a genuinely transformative programme. In 10 years, it has redefined micro-enterprise credit access in India — reaching 52 crore borrowers, disbursing ₹32.61 lakh crore, achieving 68% women participation, and generating over 1 crore documented net jobs. No programme in India's post-independence history has brought formal credit to this many first-generation entrepreneurs in a single decade.</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But PMMY at 10 faces a crossroads. The NPA rate alarm is real. The geographic exclusions of the Northeast and tribal districts are real. The convergence vacuum between credit and skills, markets, and social protection is real. The absence of post-2018 impact data is a governance failure. If these issues are not addressed in the scheme's second decade, PMMY risks ossifying into a high-volume, low-quality credit programme that burdens public sector banks without transforming micro-enterprise outcomes.</w:t>
      </w:r>
    </w:p>
    <w:p>
      <w:pPr>
        <w:spacing w:after="0" w:before="120"/>
      </w:pPr>
      <w:r>
        <w:t xml:space="preserve"/>
      </w:r>
    </w:p>
    <w:p>
      <w:pPr>
        <w:spacing w:after="120" w:before="80" w:line="288" w:lineRule="auto"/>
        <w:jc w:val="both"/>
      </w:pPr>
      <w:r>
        <w:rPr>
          <w:rFonts w:ascii="Arial" w:cs="Arial" w:eastAsia="Arial" w:hAnsi="Arial"/>
          <w:b w:val="false"/>
          <w:bCs w:val="false"/>
          <w:i w:val="false"/>
          <w:iCs w:val="false"/>
          <w:color w:val="000000"/>
          <w:sz w:val="22"/>
          <w:szCs w:val="22"/>
        </w:rPr>
        <w:t xml:space="preserve">The PMMY 2.0 reform architecture proposed in this paper is not a reinvention — it is a maturation. Credit quality restoration through MLI incentive restructuring. Inclusion deepening through tribal and NE-targeted infrastructure. Ecosystem integration through convergence with skilling and market access. And gender acceleration through women's value-share targets and Mahila MUDRA Saheli. These four pillars, if implemented with the urgency the data demands, will enable PMMY to deliver on its founding promise — 'Fund the Unfunded' — for India's next 52 crore entrepreneurs.</w:t>
      </w:r>
    </w:p>
    <w:p>
      <w:pPr>
        <w:spacing w:after="0" w:before="16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F3864"/>
          <w:sz w:val="32"/>
          <w:szCs w:val="32"/>
        </w:rPr>
        <w:t xml:space="preserve">Annexures</w:t>
      </w:r>
    </w:p>
    <w:p>
      <w:pPr>
        <w:pStyle w:val="Heading2"/>
        <w:spacing w:after="140" w:before="280"/>
      </w:pPr>
      <w:r>
        <w:rPr>
          <w:rFonts w:ascii="Arial" w:cs="Arial" w:eastAsia="Arial" w:hAnsi="Arial"/>
          <w:b/>
          <w:bCs/>
          <w:color w:val="2E75B6"/>
          <w:sz w:val="26"/>
          <w:szCs w:val="26"/>
        </w:rPr>
        <w:t xml:space="preserve">Annexure A: State-wise PMMY Disbursals — Top 10 and Bottom 5 (Cumulative, 2015–2025)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626"/>
      </w:tblGrid>
      <w:tr>
        <w:tc>
          <w:tcPr>
            <w:tcW w:type="dxa" w:w="3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State/UT</w:t>
            </w:r>
          </w:p>
        </w:tc>
        <w:tc>
          <w:tcPr>
            <w:tcW w:type="dxa" w:w="2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Cumulative Disbursal (₹ crore)</w:t>
            </w:r>
          </w:p>
        </w:tc>
        <w:tc>
          <w:tcPr>
            <w:tcW w:type="dxa" w:w="20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Loan Accounts (lakh)</w:t>
            </w:r>
          </w:p>
        </w:tc>
        <w:tc>
          <w:tcPr>
            <w:tcW w:type="dxa" w:w="16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Tamil Nadu</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₹3,23,648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582</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 disbursing state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Uttar Pradesh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₹3,14,361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595</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 by accounts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Karnataka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~₹2,50,000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~380</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Top 3 state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Maharashtra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~₹2,20,000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~350</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Large economy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Bihar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~₹1,80,000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595 (incl. UP data)</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 account count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Jammu &amp; Kashmir (UT)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₹45,816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21.3</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Highest UT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Odisha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~80</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Tribal districts underserved</w:t>
            </w:r>
          </w:p>
        </w:tc>
      </w:tr>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 BOTTOM STATES ───────</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Sikkim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&lt;1</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 — very low</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Mizoram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&lt;2</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 — low</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Nagaland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~₹1,500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&lt;2</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 — low</w:t>
            </w:r>
          </w:p>
        </w:tc>
      </w:tr>
    </w:tbl>
    <w:p>
      <w:pPr>
        <w:spacing w:after="60" w:before="40"/>
        <w:jc w:val="both"/>
      </w:pPr>
      <w:r>
        <w:rPr>
          <w:rFonts w:ascii="Arial" w:cs="Arial" w:eastAsia="Arial" w:hAnsi="Arial"/>
          <w:i/>
          <w:iCs/>
          <w:color w:val="666666"/>
          <w:sz w:val="18"/>
          <w:szCs w:val="18"/>
        </w:rPr>
        <w:t xml:space="preserve">Sources: PIB (April 2025 and 2026); IBEF PMMY Report (2025). Note: State-level data is partially estimated where exact cumulative figures are not publicly disaggregated.</w:t>
      </w:r>
    </w:p>
    <w:p>
      <w:pPr>
        <w:spacing w:after="0" w:before="140"/>
      </w:pPr>
      <w:r>
        <w:t xml:space="preserve"/>
      </w:r>
    </w:p>
    <w:p>
      <w:pPr>
        <w:pStyle w:val="Heading2"/>
        <w:spacing w:after="140" w:before="280"/>
      </w:pPr>
      <w:r>
        <w:rPr>
          <w:rFonts w:ascii="Arial" w:cs="Arial" w:eastAsia="Arial" w:hAnsi="Arial"/>
          <w:b/>
          <w:bCs/>
          <w:color w:val="2E75B6"/>
          <w:sz w:val="26"/>
          <w:szCs w:val="26"/>
        </w:rPr>
        <w:t xml:space="preserve">Annexure B: PMMY — Scheme Comparison Matrix (India and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1300"/>
        <w:gridCol w:w="1200"/>
        <w:gridCol w:w="2126"/>
      </w:tblGrid>
      <w:tr>
        <w:tc>
          <w:tcPr>
            <w:tcW w:type="dxa" w:w="17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PMMY (India)</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Grameen Bank (Bangladesh)</w:t>
            </w:r>
          </w:p>
        </w:tc>
        <w:tc>
          <w:tcPr>
            <w:tcW w:type="dxa" w:w="13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KUR (Indonesia)</w:t>
            </w:r>
          </w:p>
        </w:tc>
        <w:tc>
          <w:tcPr>
            <w:tcW w:type="dxa" w:w="12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NAFIN (Mexico)</w:t>
            </w:r>
          </w:p>
        </w:tc>
        <w:tc>
          <w:tcPr>
            <w:tcW w:type="dxa" w:w="2126"/>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M-Shwari (Kenya)</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Loan Range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₹20 lakh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USD 50–5,000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 to USD 25,000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USD 1,000–1M</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USD 10–500</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Collateral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Group guarantee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 (micro)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Partial guarantee</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 (mobile hist.)</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Women Share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68% accounts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97%</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NPA Rate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9.81% outstanding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&lt;4%</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Credit Assessment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CIBIL + MLI assessment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Group social collateral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Formal enterprise req.</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 risk retained by bank</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Mobile transaction history</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Support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 (proposed)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Embedded (Grameen)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None</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Digital Access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JanSamarth / Udyami Mitra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Limited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Bank-based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Factoring platform</w:t>
            </w:r>
          </w:p>
        </w:tc>
        <w:tc>
          <w:tcPr>
            <w:tcW w:type="dxa" w:w="21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Fully mobile-first</w:t>
            </w:r>
          </w:p>
        </w:tc>
      </w:tr>
    </w:tbl>
    <w:p>
      <w:pPr>
        <w:spacing w:after="60" w:before="40"/>
        <w:jc w:val="both"/>
      </w:pPr>
      <w:r>
        <w:rPr>
          <w:rFonts w:ascii="Arial" w:cs="Arial" w:eastAsia="Arial" w:hAnsi="Arial"/>
          <w:i/>
          <w:iCs/>
          <w:color w:val="666666"/>
          <w:sz w:val="18"/>
          <w:szCs w:val="18"/>
        </w:rPr>
        <w:t xml:space="preserve">Sources: Grameen Bank Annual Report 2024; World Bank MSME Finance Gap 2024; IFC (2023); OECD (2024); NPCI.</w:t>
      </w:r>
    </w:p>
    <w:p>
      <w:pPr>
        <w:spacing w:after="0" w:before="140"/>
      </w:pPr>
      <w:r>
        <w:t xml:space="preserve"/>
      </w:r>
    </w:p>
    <w:p>
      <w:pPr>
        <w:pStyle w:val="Heading2"/>
        <w:spacing w:after="140" w:before="280"/>
      </w:pPr>
      <w:r>
        <w:rPr>
          <w:rFonts w:ascii="Arial" w:cs="Arial" w:eastAsia="Arial" w:hAnsi="Arial"/>
          <w:b/>
          <w:bCs/>
          <w:color w:val="2E75B6"/>
          <w:sz w:val="26"/>
          <w:szCs w:val="26"/>
        </w:rPr>
        <w:t xml:space="preserve">Annexure C: References and Data Sources</w:t>
      </w:r>
    </w:p>
    <w:p>
      <w:pPr>
        <w:pStyle w:val="ListParagraph"/>
        <w:numPr>
          <w:ilvl w:val="0"/>
          <w:numId w:val="2"/>
        </w:numPr>
        <w:spacing w:after="60" w:before="60"/>
      </w:pPr>
      <w:r>
        <w:rPr>
          <w:rFonts w:ascii="Arial" w:cs="Arial" w:eastAsia="Arial" w:hAnsi="Arial"/>
          <w:color w:val="000000"/>
          <w:sz w:val="22"/>
          <w:szCs w:val="22"/>
        </w:rPr>
        <w:t xml:space="preserve">PIB, Government of India. PM MUDRA Yojana completes 10 glorious years. April 8, 2025.</w:t>
      </w:r>
    </w:p>
    <w:p>
      <w:pPr>
        <w:pStyle w:val="ListParagraph"/>
        <w:numPr>
          <w:ilvl w:val="0"/>
          <w:numId w:val="2"/>
        </w:numPr>
        <w:spacing w:after="60" w:before="60"/>
      </w:pPr>
      <w:r>
        <w:rPr>
          <w:rFonts w:ascii="Arial" w:cs="Arial" w:eastAsia="Arial" w:hAnsi="Arial"/>
          <w:color w:val="000000"/>
          <w:sz w:val="22"/>
          <w:szCs w:val="22"/>
        </w:rPr>
        <w:t xml:space="preserve">PIB, Government of India. PMMY 11 Years Report. April 8, 2026.</w:t>
      </w:r>
    </w:p>
    <w:p>
      <w:pPr>
        <w:pStyle w:val="ListParagraph"/>
        <w:numPr>
          <w:ilvl w:val="0"/>
          <w:numId w:val="2"/>
        </w:numPr>
        <w:spacing w:after="60" w:before="60"/>
      </w:pPr>
      <w:r>
        <w:rPr>
          <w:rFonts w:ascii="Arial" w:cs="Arial" w:eastAsia="Arial" w:hAnsi="Arial"/>
          <w:color w:val="000000"/>
          <w:sz w:val="22"/>
          <w:szCs w:val="22"/>
        </w:rPr>
        <w:t xml:space="preserve">PIB, Government of India. PMMY as on March 31, 2025 — FY25 Data. March 2025.</w:t>
      </w:r>
    </w:p>
    <w:p>
      <w:pPr>
        <w:pStyle w:val="ListParagraph"/>
        <w:numPr>
          <w:ilvl w:val="0"/>
          <w:numId w:val="2"/>
        </w:numPr>
        <w:spacing w:after="60" w:before="60"/>
      </w:pPr>
      <w:r>
        <w:rPr>
          <w:rFonts w:ascii="Arial" w:cs="Arial" w:eastAsia="Arial" w:hAnsi="Arial"/>
          <w:color w:val="000000"/>
          <w:sz w:val="22"/>
          <w:szCs w:val="22"/>
        </w:rPr>
        <w:t xml:space="preserve">Ministry of Finance. Union Budget 2025-26 — PMMY Allocation Statement.</w:t>
      </w:r>
    </w:p>
    <w:p>
      <w:pPr>
        <w:pStyle w:val="ListParagraph"/>
        <w:numPr>
          <w:ilvl w:val="0"/>
          <w:numId w:val="2"/>
        </w:numPr>
        <w:spacing w:after="60" w:before="60"/>
      </w:pPr>
      <w:r>
        <w:rPr>
          <w:rFonts w:ascii="Arial" w:cs="Arial" w:eastAsia="Arial" w:hAnsi="Arial"/>
          <w:color w:val="000000"/>
          <w:sz w:val="22"/>
          <w:szCs w:val="22"/>
        </w:rPr>
        <w:t xml:space="preserve">Ministry of Finance. Finance Minister's Written Reply to Rajya Sabha on PMMY NPA (August 19, 2025). Business Standard.</w:t>
      </w:r>
    </w:p>
    <w:p>
      <w:pPr>
        <w:pStyle w:val="ListParagraph"/>
        <w:numPr>
          <w:ilvl w:val="0"/>
          <w:numId w:val="2"/>
        </w:numPr>
        <w:spacing w:after="60" w:before="60"/>
      </w:pPr>
      <w:r>
        <w:rPr>
          <w:rFonts w:ascii="Arial" w:cs="Arial" w:eastAsia="Arial" w:hAnsi="Arial"/>
          <w:color w:val="000000"/>
          <w:sz w:val="22"/>
          <w:szCs w:val="22"/>
        </w:rPr>
        <w:t xml:space="preserve">NITI Aayog &amp; KPMG. Impact Assessment of Pradhan Mantri Mudra Yojana (PMMY). November 2023.</w:t>
      </w:r>
    </w:p>
    <w:p>
      <w:pPr>
        <w:pStyle w:val="ListParagraph"/>
        <w:numPr>
          <w:ilvl w:val="0"/>
          <w:numId w:val="2"/>
        </w:numPr>
        <w:spacing w:after="60" w:before="60"/>
      </w:pPr>
      <w:r>
        <w:rPr>
          <w:rFonts w:ascii="Arial" w:cs="Arial" w:eastAsia="Arial" w:hAnsi="Arial"/>
          <w:color w:val="000000"/>
          <w:sz w:val="22"/>
          <w:szCs w:val="22"/>
        </w:rPr>
        <w:t xml:space="preserve">Ministry of Labour and Employment. Large Sample Survey on Employment Generation under PMMY. 2018.</w:t>
      </w:r>
    </w:p>
    <w:p>
      <w:pPr>
        <w:pStyle w:val="ListParagraph"/>
        <w:numPr>
          <w:ilvl w:val="0"/>
          <w:numId w:val="2"/>
        </w:numPr>
        <w:spacing w:after="60" w:before="60"/>
      </w:pPr>
      <w:r>
        <w:rPr>
          <w:rFonts w:ascii="Arial" w:cs="Arial" w:eastAsia="Arial" w:hAnsi="Arial"/>
          <w:color w:val="000000"/>
          <w:sz w:val="22"/>
          <w:szCs w:val="22"/>
        </w:rPr>
        <w:t xml:space="preserve">Business Standard. 'Mudra Yojana NPAs against outstanding loans rise to 9.8% at end of FY25.' August 19, 2025.</w:t>
      </w:r>
    </w:p>
    <w:p>
      <w:pPr>
        <w:pStyle w:val="ListParagraph"/>
        <w:numPr>
          <w:ilvl w:val="0"/>
          <w:numId w:val="2"/>
        </w:numPr>
        <w:spacing w:after="60" w:before="60"/>
      </w:pPr>
      <w:r>
        <w:rPr>
          <w:rFonts w:ascii="Arial" w:cs="Arial" w:eastAsia="Arial" w:hAnsi="Arial"/>
          <w:color w:val="000000"/>
          <w:sz w:val="22"/>
          <w:szCs w:val="22"/>
        </w:rPr>
        <w:t xml:space="preserve">Business Standard. 'A Decade of Growth with PM Mudra Yojana.' April 7, 2025.</w:t>
      </w:r>
    </w:p>
    <w:p>
      <w:pPr>
        <w:pStyle w:val="ListParagraph"/>
        <w:numPr>
          <w:ilvl w:val="0"/>
          <w:numId w:val="2"/>
        </w:numPr>
        <w:spacing w:after="60" w:before="60"/>
      </w:pPr>
      <w:r>
        <w:rPr>
          <w:rFonts w:ascii="Arial" w:cs="Arial" w:eastAsia="Arial" w:hAnsi="Arial"/>
          <w:color w:val="000000"/>
          <w:sz w:val="22"/>
          <w:szCs w:val="22"/>
        </w:rPr>
        <w:t xml:space="preserve">SBI Research. PMMY Impact Report — Women-led MSMEs. April 2025.</w:t>
      </w:r>
    </w:p>
    <w:p>
      <w:pPr>
        <w:pStyle w:val="ListParagraph"/>
        <w:numPr>
          <w:ilvl w:val="0"/>
          <w:numId w:val="2"/>
        </w:numPr>
        <w:spacing w:after="60" w:before="60"/>
      </w:pPr>
      <w:r>
        <w:rPr>
          <w:rFonts w:ascii="Arial" w:cs="Arial" w:eastAsia="Arial" w:hAnsi="Arial"/>
          <w:color w:val="000000"/>
          <w:sz w:val="22"/>
          <w:szCs w:val="22"/>
        </w:rPr>
        <w:t xml:space="preserve">IBEF. Pradhan Mantri Mudra Loan Bank Yojana (PMMY) — Sector Report. 2025.</w:t>
      </w:r>
    </w:p>
    <w:p>
      <w:pPr>
        <w:pStyle w:val="ListParagraph"/>
        <w:numPr>
          <w:ilvl w:val="0"/>
          <w:numId w:val="2"/>
        </w:numPr>
        <w:spacing w:after="60" w:before="60"/>
      </w:pPr>
      <w:r>
        <w:rPr>
          <w:rFonts w:ascii="Arial" w:cs="Arial" w:eastAsia="Arial" w:hAnsi="Arial"/>
          <w:color w:val="000000"/>
          <w:sz w:val="22"/>
          <w:szCs w:val="22"/>
        </w:rPr>
        <w:t xml:space="preserve">IWWAGE. Women and Work 2024 Report. 2025.</w:t>
      </w:r>
    </w:p>
    <w:p>
      <w:pPr>
        <w:pStyle w:val="ListParagraph"/>
        <w:numPr>
          <w:ilvl w:val="0"/>
          <w:numId w:val="2"/>
        </w:numPr>
        <w:spacing w:after="60" w:before="60"/>
      </w:pPr>
      <w:r>
        <w:rPr>
          <w:rFonts w:ascii="Arial" w:cs="Arial" w:eastAsia="Arial" w:hAnsi="Arial"/>
          <w:color w:val="000000"/>
          <w:sz w:val="22"/>
          <w:szCs w:val="22"/>
        </w:rPr>
        <w:t xml:space="preserve">World Bank. MSME Finance Gap Report. 2024.</w:t>
      </w:r>
    </w:p>
    <w:p>
      <w:pPr>
        <w:pStyle w:val="ListParagraph"/>
        <w:numPr>
          <w:ilvl w:val="0"/>
          <w:numId w:val="2"/>
        </w:numPr>
        <w:spacing w:after="60" w:before="60"/>
      </w:pPr>
      <w:r>
        <w:rPr>
          <w:rFonts w:ascii="Arial" w:cs="Arial" w:eastAsia="Arial" w:hAnsi="Arial"/>
          <w:color w:val="000000"/>
          <w:sz w:val="22"/>
          <w:szCs w:val="22"/>
        </w:rPr>
        <w:t xml:space="preserve">IFC &amp; KPMG. Credit Gap in India's MSME Sector. 2019.</w:t>
      </w:r>
    </w:p>
    <w:p>
      <w:pPr>
        <w:pStyle w:val="ListParagraph"/>
        <w:numPr>
          <w:ilvl w:val="0"/>
          <w:numId w:val="2"/>
        </w:numPr>
        <w:spacing w:after="60" w:before="60"/>
      </w:pPr>
      <w:r>
        <w:rPr>
          <w:rFonts w:ascii="Arial" w:cs="Arial" w:eastAsia="Arial" w:hAnsi="Arial"/>
          <w:color w:val="000000"/>
          <w:sz w:val="22"/>
          <w:szCs w:val="22"/>
        </w:rPr>
        <w:t xml:space="preserve">OECD. SME and Entrepreneurship Outlook 2024.</w:t>
      </w:r>
    </w:p>
    <w:p>
      <w:pPr>
        <w:pStyle w:val="ListParagraph"/>
        <w:numPr>
          <w:ilvl w:val="0"/>
          <w:numId w:val="2"/>
        </w:numPr>
        <w:spacing w:after="60" w:before="60"/>
      </w:pPr>
      <w:r>
        <w:rPr>
          <w:rFonts w:ascii="Arial" w:cs="Arial" w:eastAsia="Arial" w:hAnsi="Arial"/>
          <w:color w:val="000000"/>
          <w:sz w:val="22"/>
          <w:szCs w:val="22"/>
        </w:rPr>
        <w:t xml:space="preserve">RBI. Deployment of Credit — MSME Sector data. 2025.</w:t>
      </w:r>
    </w:p>
    <w:p>
      <w:pPr>
        <w:pStyle w:val="ListParagraph"/>
        <w:numPr>
          <w:ilvl w:val="0"/>
          <w:numId w:val="2"/>
        </w:numPr>
        <w:spacing w:after="60" w:before="60"/>
      </w:pPr>
      <w:r>
        <w:rPr>
          <w:rFonts w:ascii="Arial" w:cs="Arial" w:eastAsia="Arial" w:hAnsi="Arial"/>
          <w:color w:val="000000"/>
          <w:sz w:val="22"/>
          <w:szCs w:val="22"/>
        </w:rPr>
        <w:t xml:space="preserve">NITI Aayog. SDG India Index 2023-24.</w:t>
      </w:r>
    </w:p>
    <w:p>
      <w:pPr>
        <w:pStyle w:val="ListParagraph"/>
        <w:numPr>
          <w:ilvl w:val="0"/>
          <w:numId w:val="2"/>
        </w:numPr>
        <w:spacing w:after="60" w:before="60"/>
      </w:pPr>
      <w:r>
        <w:rPr>
          <w:rFonts w:ascii="Arial" w:cs="Arial" w:eastAsia="Arial" w:hAnsi="Arial"/>
          <w:color w:val="000000"/>
          <w:sz w:val="22"/>
          <w:szCs w:val="22"/>
        </w:rPr>
        <w:t xml:space="preserve">Census of India 2011 — SC/ST Population Data.</w:t>
      </w:r>
    </w:p>
    <w:p>
      <w:pPr>
        <w:pStyle w:val="ListParagraph"/>
        <w:numPr>
          <w:ilvl w:val="0"/>
          <w:numId w:val="2"/>
        </w:numPr>
        <w:spacing w:after="60" w:before="60"/>
      </w:pPr>
      <w:r>
        <w:rPr>
          <w:rFonts w:ascii="Arial" w:cs="Arial" w:eastAsia="Arial" w:hAnsi="Arial"/>
          <w:color w:val="000000"/>
          <w:sz w:val="22"/>
          <w:szCs w:val="22"/>
        </w:rPr>
        <w:t xml:space="preserve">NSSO / PLFS 2023-24 — Female Labour Force Participation.</w:t>
      </w:r>
    </w:p>
    <w:p>
      <w:pPr>
        <w:pStyle w:val="ListParagraph"/>
        <w:numPr>
          <w:ilvl w:val="0"/>
          <w:numId w:val="2"/>
        </w:numPr>
        <w:spacing w:after="60" w:before="60"/>
      </w:pPr>
      <w:r>
        <w:rPr>
          <w:rFonts w:ascii="Arial" w:cs="Arial" w:eastAsia="Arial" w:hAnsi="Arial"/>
          <w:color w:val="000000"/>
          <w:sz w:val="22"/>
          <w:szCs w:val="22"/>
        </w:rPr>
        <w:t xml:space="preserve">MPI India 2021 — Multidimensional Poverty by Social Group. NITI Aayog / UNDP.</w:t>
      </w:r>
    </w:p>
    <w:p>
      <w:pPr>
        <w:pStyle w:val="ListParagraph"/>
        <w:numPr>
          <w:ilvl w:val="0"/>
          <w:numId w:val="2"/>
        </w:numPr>
        <w:spacing w:after="60" w:before="60"/>
      </w:pPr>
      <w:r>
        <w:rPr>
          <w:rFonts w:ascii="Arial" w:cs="Arial" w:eastAsia="Arial" w:hAnsi="Arial"/>
          <w:color w:val="000000"/>
          <w:sz w:val="22"/>
          <w:szCs w:val="22"/>
        </w:rPr>
        <w:t xml:space="preserve">Grameen Bank Annual Report 2024. Dhaka, Bangladesh.</w:t>
      </w:r>
    </w:p>
    <w:p>
      <w:pPr>
        <w:pStyle w:val="ListParagraph"/>
        <w:numPr>
          <w:ilvl w:val="0"/>
          <w:numId w:val="2"/>
        </w:numPr>
        <w:spacing w:after="60" w:before="60"/>
      </w:pPr>
      <w:r>
        <w:rPr>
          <w:rFonts w:ascii="Arial" w:cs="Arial" w:eastAsia="Arial" w:hAnsi="Arial"/>
          <w:color w:val="000000"/>
          <w:sz w:val="22"/>
          <w:szCs w:val="22"/>
        </w:rPr>
        <w:t xml:space="preserve">NPCI. UPI Annual Statistics 2024-25.</w:t>
      </w:r>
    </w:p>
    <w:p>
      <w:pPr>
        <w:spacing w:after="0" w:before="200"/>
      </w:pPr>
      <w:r>
        <w:t xml:space="preserve"/>
      </w:r>
    </w:p>
    <w:p>
      <w:pPr>
        <w:pBdr>
          <w:top w:val="single" w:color="2E75B6" w:sz="6" w:space="4"/>
          <w:bottom w:val="single" w:color="2E75B6" w:sz="6" w:space="4"/>
        </w:pBdr>
        <w:spacing w:after="60" w:before="200"/>
        <w:jc w:val="center"/>
      </w:pPr>
      <w:r>
        <w:rPr>
          <w:rFonts w:ascii="Arial" w:cs="Arial" w:eastAsia="Arial" w:hAnsi="Arial"/>
          <w:i/>
          <w:iCs/>
          <w:color w:val="1F3864"/>
          <w:sz w:val="18"/>
          <w:szCs w:val="18"/>
        </w:rPr>
        <w:t xml:space="preserve">This White Paper has been prepared in think-tank analytical style for policy advisory purposes. </w:t>
      </w:r>
      <w:r>
        <w:rPr>
          <w:rFonts w:ascii="Arial" w:cs="Arial" w:eastAsia="Arial" w:hAnsi="Arial"/>
          <w:i/>
          <w:iCs/>
          <w:color w:val="1F3864"/>
          <w:sz w:val="18"/>
          <w:szCs w:val="18"/>
        </w:rPr>
        <w:t xml:space="preserve">All data sourced from GOI publications, parliamentary records, NITI Aayog reports, RBI, and peer-reviewed research. Projections are estimates based on stated methodology.</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20"/>
      <w:jc w:val="center"/>
    </w:pPr>
    <w:r>
      <w:rPr>
        <w:rFonts w:ascii="Arial" w:cs="Arial" w:eastAsia="Arial" w:hAnsi="Arial"/>
        <w:color w:val="2E75B6"/>
        <w:sz w:val="18"/>
        <w:szCs w:val="18"/>
      </w:rPr>
      <w:t xml:space="preserve">© Dr. Debasis Pahi | Model Degree College Malkangiri | PM Policy Document Generator v2.0 | May 2026     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2E75B6"/>
        <w:sz w:val="18"/>
        <w:szCs w:val="18"/>
      </w:rPr>
      <w:t xml:space="preserve"> of </w:t>
    </w:r>
    <w:r>
      <w:rPr>
        <w:rFonts w:ascii="Arial" w:cs="Arial" w:eastAsia="Arial" w:hAnsi="Arial"/>
        <w:color w:val="2E75B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jc w:val="right"/>
    </w:pPr>
    <w:r>
      <w:rPr>
        <w:rFonts w:ascii="Arial" w:cs="Arial" w:eastAsia="Arial" w:hAnsi="Arial"/>
        <w:i/>
        <w:iCs/>
        <w:color w:val="2E75B6"/>
        <w:sz w:val="18"/>
        <w:szCs w:val="18"/>
      </w:rPr>
      <w:t xml:space="preserve">WHITE PAPER  |  PM MUDRA YOJANA (PMMY)  |  Ministry of Finance &amp; Ministry of MSME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2026-06-03T01:27:01.274Z</dcterms:created>
  <dcterms:modified xsi:type="dcterms:W3CDTF">2026-06-03T01:27:01.286Z</dcterms:modified>
</cp:coreProperties>
</file>

<file path=docProps/custom.xml><?xml version="1.0" encoding="utf-8"?>
<Properties xmlns="http://schemas.openxmlformats.org/officeDocument/2006/custom-properties" xmlns:vt="http://schemas.openxmlformats.org/officeDocument/2006/docPropsVTypes"/>
</file>