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WSRTD Owned C++ AmiBroker Plugin</w:t>
      </w:r>
    </w:p>
    <w:p>
      <w:r>
        <w:rPr>
          <w:b/>
        </w:rPr>
        <w:t>Architecture outline and implementation reference | Revision R1 | 29 October 2026</w:t>
      </w:r>
    </w:p>
    <w:p>
      <w:pPr>
        <w:pStyle w:val="Small"/>
      </w:pPr>
      <w:r>
        <w:t>Repository target: dreadmastah/Rtd_Ws_AB_plugin  •  Platform: Windows 10 x64 / AmiBroker 7.20.0.7200</w:t>
      </w:r>
    </w:p>
    <w:p>
      <w:r>
        <w:t>Purpose. Define the intended architecture, boundaries, data contracts, current evidence, outstanding native acceptance, and milestone roadmap for the independently owned WSRTD C++ real-time data plugin. This is an engineering reference and an accurate source for a future GitHub README. It is not a production-release or installation approval.</w:t>
      </w:r>
    </w:p>
    <w:p>
      <w:pPr>
        <w:pStyle w:val="Heading1"/>
      </w:pPr>
      <w:r>
        <w:t>1. Executive architecture</w:t>
      </w:r>
    </w:p>
    <w:p>
      <w:r>
        <w:t>The owned plugin is intended to replace dependence on the legacy closed-source R2 data-plugin implementation. The x64 C++ DLL is database-bound and reads verified quotation data from database-scoped SQLite storage. Separate components handle Binance USD-M eligibility discovery, genuine candle ingestion, native symbol/watchlist synchronization, health reporting, and controlled supervision. Registry membership, watchlist membership, subscriptions, and genuinely fresh native candles must remain distinct measurable states.</w:t>
      </w:r>
    </w:p>
    <w:p>
      <w:pPr>
        <w:pStyle w:val="CodeLine"/>
      </w:pPr>
      <w:r>
        <w:t>Binance USD-M exchangeInfo + completed 1m OHLCV</w:t>
      </w:r>
    </w:p>
    <w:p>
      <w:pPr>
        <w:pStyle w:val="CodeLine"/>
      </w:pPr>
      <w:r>
        <w:t xml:space="preserve">  -&gt; discovery/normalization/validation (producer; planned native acceptance)</w:t>
      </w:r>
    </w:p>
    <w:p>
      <w:pPr>
        <w:pStyle w:val="CodeLine"/>
      </w:pPr>
      <w:r>
        <w:t xml:space="preserve">  -&gt; database-scoped SQLite registry + completed bars + reconciliation journal</w:t>
      </w:r>
    </w:p>
    <w:p>
      <w:pPr>
        <w:pStyle w:val="CodeLine"/>
      </w:pPr>
      <w:r>
        <w:t xml:space="preserve">  -&gt; owned C++ AmiBroker ADK DLL (Configure/Notify/GetQuotes/GetQuotesEx)</w:t>
      </w:r>
    </w:p>
    <w:p>
      <w:pPr>
        <w:pStyle w:val="CodeLine"/>
      </w:pPr>
      <w:r>
        <w:t xml:space="preserve">  -&gt; disposable or production AmiBroker database (separate authorization)</w:t>
      </w:r>
    </w:p>
    <w:p>
      <w:pPr>
        <w:pStyle w:val="CodeLine"/>
      </w:pPr>
      <w:r>
        <w:t xml:space="preserve">  -&gt; managed watchlist bridge / UI refresh (native binding unresolved)</w:t>
      </w:r>
    </w:p>
    <w:p>
      <w:pPr>
        <w:pStyle w:val="CodeLine"/>
      </w:pPr>
      <w:r>
        <w:t xml:space="preserve">  -&gt; status reporting: source health, coverage, freshness and errors</w:t>
      </w:r>
    </w:p>
    <w:p>
      <w:r>
        <w:t>Critical boundary: AmiBroker watchlist mutation is not established as a direct ADK function. A supported, database-identified in-host bridge or other proven writer must implement it; the DLL alone must not claim the watchlist has synchronized.</w:t>
      </w:r>
    </w:p>
    <w:p>
      <w:pPr>
        <w:pStyle w:val="Heading1"/>
      </w:pPr>
      <w:r>
        <w:t>2. Functional components and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131"/>
            <w:shd w:fill="E5EFF5"/>
          </w:tcPr>
          <w:p>
            <w:r>
              <w:rPr>
                <w:b/>
                <w:color w:val="1A384E"/>
                <w:sz w:val="15"/>
              </w:rPr>
              <w:t>Component</w:t>
            </w:r>
          </w:p>
        </w:tc>
        <w:tc>
          <w:tcPr>
            <w:tcW w:type="dxa" w:w="4435"/>
            <w:shd w:fill="E5EFF5"/>
          </w:tcPr>
          <w:p>
            <w:r>
              <w:rPr>
                <w:b/>
                <w:color w:val="1A384E"/>
                <w:sz w:val="15"/>
              </w:rPr>
              <w:t>Responsibility</w:t>
            </w:r>
          </w:p>
        </w:tc>
        <w:tc>
          <w:tcPr>
            <w:tcW w:type="dxa" w:w="3557"/>
            <w:shd w:fill="E5EFF5"/>
          </w:tcPr>
          <w:p>
            <w:r>
              <w:rPr>
                <w:b/>
                <w:color w:val="1A384E"/>
                <w:sz w:val="15"/>
              </w:rPr>
              <w:t>Current evidence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20"/>
            </w:pPr>
            <w:r>
              <w:rPr>
                <w:sz w:val="15"/>
              </w:rPr>
              <w:t>C++ x64 ADK DLL</w:t>
            </w:r>
          </w:p>
        </w:tc>
        <w:tc>
          <w:tcPr>
            <w:tcW w:type="dxa" w:w="4435"/>
            <w:vAlign w:val="center"/>
          </w:tcPr>
          <w:p>
            <w:pPr>
              <w:spacing w:after="20"/>
            </w:pPr>
            <w:r>
              <w:rPr>
                <w:sz w:val="15"/>
              </w:rPr>
              <w:t>Host ABI, database binding, quote retrieval, lifecycle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5"/>
              </w:rPr>
              <w:t>N1 DLL loaded and selectable in actual AmiBroker; quotations not verified</w:t>
            </w:r>
          </w:p>
        </w:tc>
      </w:tr>
      <w:tr>
        <w:tc>
          <w:tcPr>
            <w:tcW w:type="dxa" w:w="213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Database-bound SQLite</w:t>
            </w:r>
          </w:p>
        </w:tc>
        <w:tc>
          <w:tcPr>
            <w:tcW w:type="dxa" w:w="443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Context, symbol registry, genuine bars, reconciliation state</w:t>
            </w:r>
          </w:p>
        </w:tc>
        <w:tc>
          <w:tcPr>
            <w:tcW w:type="dxa" w:w="355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N1 17/17 grouped offline checks passed; in-host data path unverified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 ingestion / feed</w:t>
            </w:r>
          </w:p>
        </w:tc>
        <w:tc>
          <w:tcPr>
            <w:tcW w:type="dxa" w:w="4435"/>
            <w:vAlign w:val="center"/>
          </w:tcPr>
          <w:p>
            <w:pPr>
              <w:spacing w:after="20"/>
            </w:pPr>
            <w:r>
              <w:rPr>
                <w:sz w:val="15"/>
              </w:rPr>
              <w:t>Binance 1m completed bars, REST catch-up, rate limits, reconnect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Producer/streaming integration pending native validation</w:t>
            </w:r>
          </w:p>
        </w:tc>
      </w:tr>
      <w:tr>
        <w:tc>
          <w:tcPr>
            <w:tcW w:type="dxa" w:w="213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Eligibility reconciler</w:t>
            </w:r>
          </w:p>
        </w:tc>
        <w:tc>
          <w:tcPr>
            <w:tcW w:type="dxa" w:w="443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Filter USD-M USDT PERPETUAL TRADING, additions/inactivation</w:t>
            </w:r>
          </w:p>
        </w:tc>
        <w:tc>
          <w:tcPr>
            <w:tcW w:type="dxa" w:w="355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7 universe checks passed offline; online cadence planned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20"/>
            </w:pPr>
            <w:r>
              <w:rPr>
                <w:sz w:val="15"/>
              </w:rPr>
              <w:t>Managed watchlist bridge</w:t>
            </w:r>
          </w:p>
        </w:tc>
        <w:tc>
          <w:tcPr>
            <w:tcW w:type="dxa" w:w="4435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Register symbols, create/update BINANCE_USDM_ACTIVE, refresh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5"/>
              </w:rPr>
              <w:t>Offline model passed; in-host two-symbol test READY, not executed</w:t>
            </w:r>
          </w:p>
        </w:tc>
      </w:tr>
      <w:tr>
        <w:tc>
          <w:tcPr>
            <w:tcW w:type="dxa" w:w="213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Status and diagnostics</w:t>
            </w:r>
          </w:p>
        </w:tc>
        <w:tc>
          <w:tcPr>
            <w:tcW w:type="dxa" w:w="443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Real-time status, discovery/coverage/freshness, alarms</w:t>
            </w:r>
          </w:p>
        </w:tc>
        <w:tc>
          <w:tcPr>
            <w:tcW w:type="dxa" w:w="355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Status candidate 10 offline tests passed; installed version differs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20"/>
            </w:pPr>
            <w:r>
              <w:rPr>
                <w:sz w:val="15"/>
              </w:rPr>
              <w:t>Supervisor and safety</w:t>
            </w:r>
          </w:p>
        </w:tc>
        <w:tc>
          <w:tcPr>
            <w:tcW w:type="dxa" w:w="4435"/>
            <w:vAlign w:val="center"/>
          </w:tcPr>
          <w:p>
            <w:pPr>
              <w:spacing w:after="20"/>
            </w:pPr>
            <w:r>
              <w:rPr>
                <w:sz w:val="15"/>
              </w:rPr>
              <w:t>Isolation, owner identity, controlled rollovers, bounded failure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legacy S4F offline work; owned live control not accepted</w:t>
            </w:r>
          </w:p>
        </w:tc>
      </w:tr>
    </w:tbl>
    <w:p>
      <w:pPr>
        <w:spacing w:after="0"/>
      </w:pPr>
    </w:p>
    <w:p>
      <w:pPr>
        <w:pStyle w:val="Heading1"/>
      </w:pPr>
      <w:r>
        <w:t>3. Scope and universe policy</w:t>
      </w:r>
    </w:p>
    <w:p>
      <w:pPr>
        <w:pStyle w:val="ListBullet"/>
      </w:pPr>
      <w:r>
        <w:t>Exchange: Binance USD-M futures. Eligibility requires contractType=PERPETUAL, quoteAsset=USDT and status=TRADING on the same successfully validated exchangeInfo snapshot.</w:t>
      </w:r>
    </w:p>
    <w:p>
      <w:pPr>
        <w:pStyle w:val="ListBullet"/>
      </w:pPr>
      <w:r>
        <w:t>Exclude spot, USDC, COIN-M, dated/quarterly futures, prelaunch and non-TRADING contracts. Treat SETTLING as currently inactive rather than automatically permanently delisted.</w:t>
      </w:r>
    </w:p>
    <w:p>
      <w:pPr>
        <w:pStyle w:val="ListBullet"/>
      </w:pPr>
      <w:r>
        <w:t>At startup and 00:00 UTC reconcile the verified universe; optional hourly reconciliation is a proposed policy until tested and approved. Exchange metadata failure must not erase last-known-good membership.</w:t>
      </w:r>
    </w:p>
    <w:p>
      <w:pPr>
        <w:pStyle w:val="ListBullet"/>
      </w:pPr>
      <w:r>
        <w:t>Newly listed contracts must register even with 0, 10, 50 or 199 available genuine bars; sparse history is not an eligibility failure.</w:t>
      </w:r>
    </w:p>
    <w:p>
      <w:pPr>
        <w:pStyle w:val="ListBullet"/>
      </w:pPr>
      <w:r>
        <w:t>When a contract becomes inactive, cease live subscriptions and remove only its managed-active-watchlist membership. Preserve AmiBroker symbol identity and native historical OHLCV.</w:t>
      </w:r>
    </w:p>
    <w:p>
      <w:pPr>
        <w:pStyle w:val="ListBullet"/>
      </w:pPr>
      <w:r>
        <w:t>No fixed 500-symbol database or watchlist identity ceiling. 497, 500 and &gt;500 simultaneous streaming must be measured, not asserted.</w:t>
      </w:r>
    </w:p>
    <w:p>
      <w:pPr>
        <w:pStyle w:val="Heading1"/>
      </w:pPr>
      <w:r>
        <w:t>4. Quotation and persistence contract</w:t>
      </w:r>
    </w:p>
    <w:p>
      <w:pPr>
        <w:pStyle w:val="ListBullet"/>
      </w:pPr>
      <w:r>
        <w:t>Base market-data event: genuine, exchange-sourced completed 1-minute OHLCV; timestamped in UTC with deterministic minute-open/close semantics. Do not publish incomplete forming minutes as final.</w:t>
      </w:r>
    </w:p>
    <w:p>
      <w:pPr>
        <w:pStyle w:val="ListBullet"/>
      </w:pPr>
      <w:r>
        <w:t>Validate symbol membership, chronological ordering, OHLC consistency, volume semantics, duplicate/revision policy and source provenance before marking a bar accepted.</w:t>
      </w:r>
    </w:p>
    <w:p>
      <w:pPr>
        <w:pStyle w:val="ListBullet"/>
      </w:pPr>
      <w:r>
        <w:t>Never invent, forward-fill or carry forward unavailable candles. Record missing UTC minutes explicitly and use authenticated genuine source data for backfill where supported.</w:t>
      </w:r>
    </w:p>
    <w:p>
      <w:pPr>
        <w:pStyle w:val="ListBullet"/>
      </w:pPr>
      <w:r>
        <w:t>Protect immutable completed bars from unintended rollback/replacement. Daily and weekly compression must be validated in native AmiBroker; daily UTC rollover is a critical acceptance case.</w:t>
      </w:r>
    </w:p>
    <w:p>
      <w:pPr>
        <w:pStyle w:val="ListBullet"/>
      </w:pPr>
      <w:r>
        <w:t>Target watchlisting history policy from the operator design: 250 daily and 250 weekly bars; forming intraday display from genuine last 24 hours of 1-minute data. This is an acceptance target, not a verified owned-DLL behavior.</w:t>
      </w:r>
    </w:p>
    <w:p>
      <w:pPr>
        <w:pStyle w:val="ListBullet"/>
      </w:pPr>
      <w:r>
        <w:t>Quote-buffer return lengths of 0, 10, 50 and 199 bars must not destroy previously persisted native history; actual in-host retention and reopen/readback remain unverified.</w:t>
      </w:r>
    </w:p>
    <w:p>
      <w:pPr>
        <w:pStyle w:val="Heading1"/>
      </w:pPr>
      <w:r>
        <w:t>5. Database binding and isolation</w:t>
      </w:r>
    </w:p>
    <w:p>
      <w:r>
        <w:t>ADK Configure/Notify callbacks must provide a verified database context before SQLite queries or symbol registration. No unscoped registry fallback is permitted. Unknown paths, stale contexts, or cross-database operations fail closed. DB-scoped SQLite schema and code have offline qualification; actual callback ordering remains a native acceptance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938"/>
            <w:shd w:fill="E5EFF5"/>
          </w:tcPr>
          <w:p>
            <w:r>
              <w:rPr>
                <w:b/>
                <w:color w:val="1A384E"/>
                <w:sz w:val="15"/>
              </w:rPr>
              <w:t>Context</w:t>
            </w:r>
          </w:p>
        </w:tc>
        <w:tc>
          <w:tcPr>
            <w:tcW w:type="dxa" w:w="7186"/>
            <w:shd w:fill="E5EFF5"/>
          </w:tcPr>
          <w:p>
            <w:r>
              <w:rPr>
                <w:b/>
                <w:color w:val="1A384E"/>
                <w:sz w:val="15"/>
              </w:rPr>
              <w:t>Observed/current boundary</w:t>
            </w:r>
          </w:p>
        </w:tc>
      </w:tr>
      <w:tr>
        <w:tc>
          <w:tcPr>
            <w:tcW w:type="dxa" w:w="2938"/>
            <w:vAlign w:val="center"/>
          </w:tcPr>
          <w:p>
            <w:pPr>
              <w:spacing w:after="20"/>
            </w:pPr>
            <w:r>
              <w:rPr>
                <w:sz w:val="15"/>
              </w:rPr>
              <w:t>Disposable test database</w:t>
            </w:r>
          </w:p>
        </w:tc>
        <w:tc>
          <w:tcPr>
            <w:tcW w:type="dxa" w:w="7186"/>
            <w:vAlign w:val="center"/>
          </w:tcPr>
          <w:p>
            <w:pPr>
              <w:spacing w:after="20"/>
            </w:pPr>
            <w:r>
              <w:rPr>
                <w:sz w:val="15"/>
              </w:rPr>
              <w:t>D:\Amibroker_myDATA\N1 — operator created; N1 data source selected; no proven completed candles</w:t>
            </w:r>
          </w:p>
        </w:tc>
      </w:tr>
      <w:tr>
        <w:tc>
          <w:tcPr>
            <w:tcW w:type="dxa" w:w="2938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Legacy production database</w:t>
            </w:r>
          </w:p>
        </w:tc>
        <w:tc>
          <w:tcPr>
            <w:tcW w:type="dxa" w:w="7186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D:\WSRTD_PR3_Test_20261010 — protected existing OHLCV</w:t>
            </w:r>
          </w:p>
        </w:tc>
      </w:tr>
      <w:tr>
        <w:tc>
          <w:tcPr>
            <w:tcW w:type="dxa" w:w="293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Installed owned DLL</w:t>
            </w:r>
          </w:p>
        </w:tc>
        <w:tc>
          <w:tcPr>
            <w:tcW w:type="dxa" w:w="7186"/>
            <w:vAlign w:val="center"/>
          </w:tcPr>
          <w:p>
            <w:pPr>
              <w:spacing w:after="20"/>
            </w:pPr>
            <w:r>
              <w:rPr>
                <w:sz w:val="15"/>
              </w:rPr>
              <w:t>WSRTD_Owned_N1_DATABASE_BOUND.dll — hash ae7f6bc4…513af4179; mapped by AmiBroker</w:t>
            </w:r>
          </w:p>
        </w:tc>
      </w:tr>
      <w:tr>
        <w:tc>
          <w:tcPr>
            <w:tcW w:type="dxa" w:w="2938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Offline status candidate</w:t>
            </w:r>
          </w:p>
        </w:tc>
        <w:tc>
          <w:tcPr>
            <w:tcW w:type="dxa" w:w="7186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WSRTD_Owned_N1_STATUS_TEST.dll — hash 43b4d553…f84732; not installed by reported work</w:t>
            </w:r>
          </w:p>
        </w:tc>
      </w:tr>
      <w:tr>
        <w:tc>
          <w:tcPr>
            <w:tcW w:type="dxa" w:w="2938"/>
            <w:vAlign w:val="center"/>
          </w:tcPr>
          <w:p>
            <w:pPr>
              <w:spacing w:after="20"/>
            </w:pPr>
            <w:r>
              <w:rPr>
                <w:sz w:val="15"/>
              </w:rPr>
              <w:t>Old R2 DLL and live services</w:t>
            </w:r>
          </w:p>
        </w:tc>
        <w:tc>
          <w:tcPr>
            <w:tcW w:type="dxa" w:w="7186"/>
            <w:vAlign w:val="center"/>
          </w:tcPr>
          <w:p>
            <w:pPr>
              <w:spacing w:after="20"/>
            </w:pPr>
            <w:r>
              <w:rPr>
                <w:sz w:val="15"/>
              </w:rPr>
              <w:t>Preserve; ports 18101 and 10101 not to be interfered with</w:t>
            </w:r>
          </w:p>
        </w:tc>
      </w:tr>
    </w:tbl>
    <w:p>
      <w:pPr>
        <w:spacing w:after="0"/>
      </w:pPr>
    </w:p>
    <w:p>
      <w:r>
        <w:t>An independent Windows test account alone was not a proven file-security boundary because N2 found broad Modify permissions. The operator chose direct same-PC testing; that is an accepted operational risk preference, not a security guarantee. Never conflate mere DLL presence with safe data-source use.</w:t>
      </w:r>
    </w:p>
    <w:p>
      <w:pPr>
        <w:pStyle w:val="Heading1"/>
      </w:pPr>
      <w:r>
        <w:t>6. Native symbol and watchlist synchronization</w:t>
      </w:r>
    </w:p>
    <w:p>
      <w:r>
        <w:t>Target managed watchlist: BINANCE_USDM_ACTIVE. Its members should equal the most recent successfully reconciled eligible universe after a confirmed update. A missing or failed metadata snapshot must leave last-known-good membership intact and flag stale discovery.</w:t>
      </w:r>
    </w:p>
    <w:p>
      <w:pPr>
        <w:pStyle w:val="ListNumber"/>
      </w:pPr>
      <w:r>
        <w:t>Confirm exact full active database path and selected owned plugin from the current AmiBroker host; reject ambiguous external OLE instance binding.</w:t>
      </w:r>
    </w:p>
    <w:p>
      <w:pPr>
        <w:pStyle w:val="ListNumber"/>
      </w:pPr>
      <w:r>
        <w:t>Acquire an exclusive, accountable writer for native registration and managed-watchlist updates; use supported AmiBroker interfaces only.</w:t>
      </w:r>
    </w:p>
    <w:p>
      <w:pPr>
        <w:pStyle w:val="ListNumber"/>
      </w:pPr>
      <w:r>
        <w:t>Register absent symbols without deleting existing data; resolve watchlist identity by name, not an assumed numeric index.</w:t>
      </w:r>
    </w:p>
    <w:p>
      <w:pPr>
        <w:pStyle w:val="ListNumber"/>
      </w:pPr>
      <w:r>
        <w:t>Compute add/remove delta, apply in a journaled idempotent sequence, independently confirm native membership, and acknowledge SQLite state only after verification.</w:t>
      </w:r>
    </w:p>
    <w:p>
      <w:pPr>
        <w:pStyle w:val="ListNumber"/>
      </w:pPr>
      <w:r>
        <w:t>On status change, remove membership from BINANCE_USDM_ACTIVE only; retain symbol and all history. No direct active .TLS rewriting without verified supported ownership semantics.</w:t>
      </w:r>
    </w:p>
    <w:p>
      <w:pPr>
        <w:pStyle w:val="ListNumber"/>
      </w:pPr>
      <w:r>
        <w:t>Dispatch documented refresh only after confirmed state update, with bounded coalescing and no uncontrolled UI refresh loops.</w:t>
      </w:r>
    </w:p>
    <w:p>
      <w:r>
        <w:t>Latest result (29 Oct 2026): PASS_N1_INHOST_WATCHLIST_TEST_READY. Manual BTCUSDT/ETHUSDT procedure independently reviewed, but TWO_SYMBOL_NATIVE_WRITE_AUTHORIZED=false and no native mutation has occurred. External COM-to-PID / exclusive database-switch binding remains unresolved for automatic bridge. Do not label watchlist automation as live.</w:t>
      </w:r>
    </w:p>
    <w:p>
      <w:pPr>
        <w:pStyle w:val="Heading1"/>
      </w:pPr>
      <w:r>
        <w:t>7. Real-time health and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5EFF5"/>
          </w:tcPr>
          <w:p>
            <w:r>
              <w:rPr>
                <w:b/>
                <w:color w:val="1A384E"/>
                <w:sz w:val="15"/>
              </w:rPr>
              <w:t>State</w:t>
            </w:r>
          </w:p>
        </w:tc>
        <w:tc>
          <w:tcPr>
            <w:tcW w:type="dxa" w:w="8035"/>
            <w:shd w:fill="E5EFF5"/>
          </w:tcPr>
          <w:p>
            <w:r>
              <w:rPr>
                <w:b/>
                <w:color w:val="1A384E"/>
                <w:sz w:val="15"/>
              </w:rPr>
              <w:t>Proposed meaning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Green / healthy</w:t>
            </w:r>
          </w:p>
        </w:tc>
        <w:tc>
          <w:tcPr>
            <w:tcW w:type="dxa" w:w="8035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Database context valid, validated source available, accepted completed-minute data fresh and required symbol coverage satisfied.</w:t>
            </w:r>
          </w:p>
        </w:tc>
      </w:tr>
      <w:tr>
        <w:tc>
          <w:tcPr>
            <w:tcW w:type="dxa" w:w="2088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Yellow / initializing</w:t>
            </w:r>
          </w:p>
        </w:tc>
        <w:tc>
          <w:tcPr>
            <w:tcW w:type="dxa" w:w="803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Binding, discovery, reconciliation or backfill pending; data availability not yet proven.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Red / error</w:t>
            </w:r>
          </w:p>
        </w:tc>
        <w:tc>
          <w:tcPr>
            <w:tcW w:type="dxa" w:w="8035"/>
            <w:vAlign w:val="center"/>
          </w:tcPr>
          <w:p>
            <w:pPr>
              <w:spacing w:after="20"/>
            </w:pPr>
            <w:r>
              <w:rPr>
                <w:sz w:val="15"/>
              </w:rPr>
              <w:t>Unbound/mismatched SQLite, stale or unavailable feed, failed native registration, owner/transport error or required freshness violation.</w:t>
            </w:r>
          </w:p>
        </w:tc>
      </w:tr>
    </w:tbl>
    <w:p>
      <w:pPr>
        <w:spacing w:after="0"/>
      </w:pPr>
    </w:p>
    <w:p>
      <w:r>
        <w:t>Status must expose distinct counters: eligible, registered, watchlisted, subscribed, relay-forwarded, natively received/available and actually fresh. Green must never mean merely “SQLite opened” or “socket connected.” The STATUS_TEST candidate has offline status tests, not accepted live status behavior.</w:t>
      </w:r>
    </w:p>
    <w:p>
      <w:pPr>
        <w:pStyle w:val="Heading1"/>
      </w:pPr>
      <w:r>
        <w:t>8. Operational and security boundaries</w:t>
      </w:r>
    </w:p>
    <w:p>
      <w:pPr>
        <w:pStyle w:val="ListBullet"/>
      </w:pPr>
      <w:r>
        <w:t>Use an independently managed, database-bound SQLite path and approved producer configuration; no automatic connection to protected ports 18101 or 10101 in testing.</w:t>
      </w:r>
    </w:p>
    <w:p>
      <w:pPr>
        <w:pStyle w:val="ListBullet"/>
      </w:pPr>
      <w:r>
        <w:t>Protect existing historical data, especially EPICUSDT, MITOUSDT and PTBUSDT; operator waived an additional backup requirement, not permission to delete or overwrite history.</w:t>
      </w:r>
    </w:p>
    <w:p>
      <w:pPr>
        <w:pStyle w:val="ListBullet"/>
      </w:pPr>
      <w:r>
        <w:t>No broad Python tree termination, live watchdog edits, arbitrary task control, production DLL replacement, or unapproved database switch.</w:t>
      </w:r>
    </w:p>
    <w:p>
      <w:pPr>
        <w:pStyle w:val="ListBullet"/>
      </w:pPr>
      <w:r>
        <w:t>Explicitly separate native acceptance authorization from any future production migration authorization. The legacy 15-minute maximum 18101 outage is a planning limit only, not current approval.</w:t>
      </w:r>
    </w:p>
    <w:p>
      <w:pPr>
        <w:pStyle w:val="ListBullet"/>
      </w:pPr>
      <w:r>
        <w:t>Abort on context identity drift, ambiguous host or watchlist writer, invalid metadata, unexpected cross-database access, or unverified native bars.</w:t>
      </w:r>
    </w:p>
    <w:p>
      <w:pPr>
        <w:pStyle w:val="Heading1"/>
      </w:pPr>
      <w:r>
        <w:t>9. Acceptance matrix: evidence versus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77"/>
            <w:shd w:fill="E5EFF5"/>
          </w:tcPr>
          <w:p>
            <w:r>
              <w:rPr>
                <w:b/>
                <w:color w:val="1A384E"/>
                <w:sz w:val="15"/>
              </w:rPr>
              <w:t>Milestone / test</w:t>
            </w:r>
          </w:p>
        </w:tc>
        <w:tc>
          <w:tcPr>
            <w:tcW w:type="dxa" w:w="3571"/>
            <w:shd w:fill="E5EFF5"/>
          </w:tcPr>
          <w:p>
            <w:r>
              <w:rPr>
                <w:b/>
                <w:color w:val="1A384E"/>
                <w:sz w:val="15"/>
              </w:rPr>
              <w:t>Result as of 29 Oct 2026</w:t>
            </w:r>
          </w:p>
        </w:tc>
        <w:tc>
          <w:tcPr>
            <w:tcW w:type="dxa" w:w="4075"/>
            <w:shd w:fill="E5EFF5"/>
          </w:tcPr>
          <w:p>
            <w:r>
              <w:rPr>
                <w:b/>
                <w:color w:val="1A384E"/>
                <w:sz w:val="15"/>
              </w:rPr>
              <w:t>Not yet demonstrated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20"/>
            </w:pPr>
            <w:r>
              <w:rPr>
                <w:sz w:val="15"/>
              </w:rPr>
              <w:t>R5D owned baseline</w:t>
            </w:r>
          </w:p>
        </w:tc>
        <w:tc>
          <w:tcPr>
            <w:tcW w:type="dxa" w:w="3571"/>
            <w:vAlign w:val="center"/>
          </w:tcPr>
          <w:p>
            <w:pPr>
              <w:spacing w:after="20"/>
            </w:pPr>
            <w:r>
              <w:rPr>
                <w:sz w:val="15"/>
              </w:rPr>
              <w:t>AMD64 compiled; offline replay validated</w:t>
            </w:r>
          </w:p>
        </w:tc>
        <w:tc>
          <w:tcPr>
            <w:tcW w:type="dxa" w:w="4075"/>
            <w:vAlign w:val="center"/>
          </w:tcPr>
          <w:p>
            <w:pPr>
              <w:spacing w:after="20"/>
            </w:pPr>
            <w:r>
              <w:rPr>
                <w:sz w:val="15"/>
              </w:rPr>
              <w:t>In-host native registry and production use</w:t>
            </w:r>
          </w:p>
        </w:tc>
      </w:tr>
      <w:tr>
        <w:tc>
          <w:tcPr>
            <w:tcW w:type="dxa" w:w="247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N1 database-bound candidate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17/17 grouped offline checks; independently reviewed</w:t>
            </w:r>
          </w:p>
        </w:tc>
        <w:tc>
          <w:tcPr>
            <w:tcW w:type="dxa" w:w="407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Actual Configure/Notify ordering and retention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20"/>
            </w:pPr>
            <w:r>
              <w:rPr>
                <w:sz w:val="15"/>
              </w:rPr>
              <w:t>N1 installed in AmiBroker</w:t>
            </w:r>
          </w:p>
        </w:tc>
        <w:tc>
          <w:tcPr>
            <w:tcW w:type="dxa" w:w="3571"/>
            <w:vAlign w:val="center"/>
          </w:tcPr>
          <w:p>
            <w:pPr>
              <w:spacing w:after="20"/>
            </w:pPr>
            <w:r>
              <w:rPr>
                <w:sz w:val="15"/>
              </w:rPr>
              <w:t>File hash matched; module mapped; plugin selectable</w:t>
            </w:r>
          </w:p>
        </w:tc>
        <w:tc>
          <w:tcPr>
            <w:tcW w:type="dxa" w:w="4075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Real data or healthy feed</w:t>
            </w:r>
          </w:p>
        </w:tc>
      </w:tr>
      <w:tr>
        <w:tc>
          <w:tcPr>
            <w:tcW w:type="dxa" w:w="247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N1 status/universe candidate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10 status + 7 universe offline checks; sealed</w:t>
            </w:r>
          </w:p>
        </w:tc>
        <w:tc>
          <w:tcPr>
            <w:tcW w:type="dxa" w:w="407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Actual green/red source health; native auto watchlist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20"/>
            </w:pPr>
            <w:r>
              <w:rPr>
                <w:sz w:val="15"/>
              </w:rPr>
              <w:t>Native bridge model</w:t>
            </w:r>
          </w:p>
        </w:tc>
        <w:tc>
          <w:tcPr>
            <w:tcW w:type="dxa" w:w="3571"/>
            <w:vAlign w:val="center"/>
          </w:tcPr>
          <w:p>
            <w:pPr>
              <w:spacing w:after="20"/>
            </w:pPr>
            <w:r>
              <w:rPr>
                <w:sz w:val="15"/>
              </w:rPr>
              <w:t>7 offline checks; independently sealed</w:t>
            </w:r>
          </w:p>
        </w:tc>
        <w:tc>
          <w:tcPr>
            <w:tcW w:type="dxa" w:w="4075"/>
            <w:vAlign w:val="center"/>
          </w:tcPr>
          <w:p>
            <w:pPr>
              <w:spacing w:after="20"/>
            </w:pPr>
            <w:r>
              <w:rPr>
                <w:sz w:val="15"/>
              </w:rPr>
              <w:t>Exclusive OLE host/PID and production transaction</w:t>
            </w:r>
          </w:p>
        </w:tc>
      </w:tr>
      <w:tr>
        <w:tc>
          <w:tcPr>
            <w:tcW w:type="dxa" w:w="247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Latest two-symbol in-host procedure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PASS preparation/readiness review</w:t>
            </w:r>
          </w:p>
        </w:tc>
        <w:tc>
          <w:tcPr>
            <w:tcW w:type="dxa" w:w="407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Manual BTCUSDT/ETHUSDT native writes not executed</w:t>
            </w:r>
          </w:p>
        </w:tc>
      </w:tr>
      <w:tr>
        <w:tc>
          <w:tcPr>
            <w:tcW w:type="dxa" w:w="2477"/>
            <w:vAlign w:val="center"/>
          </w:tcPr>
          <w:p>
            <w:pPr>
              <w:spacing w:after="20"/>
            </w:pPr>
            <w:r>
              <w:rPr>
                <w:sz w:val="15"/>
              </w:rPr>
              <w:t>Full dynamic &gt;500</w:t>
            </w:r>
          </w:p>
        </w:tc>
        <w:tc>
          <w:tcPr>
            <w:tcW w:type="dxa" w:w="3571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Registry membership model exercised &gt;500</w:t>
            </w:r>
          </w:p>
        </w:tc>
        <w:tc>
          <w:tcPr>
            <w:tcW w:type="dxa" w:w="4075"/>
            <w:vAlign w:val="center"/>
          </w:tcPr>
          <w:p>
            <w:pPr>
              <w:spacing w:after="20"/>
            </w:pPr>
            <w:r>
              <w:rPr>
                <w:sz w:val="15"/>
              </w:rPr>
              <w:t>Full-universe genuine concurrent streaming</w:t>
            </w:r>
          </w:p>
        </w:tc>
      </w:tr>
      <w:tr>
        <w:tc>
          <w:tcPr>
            <w:tcW w:type="dxa" w:w="2477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Live end-to-end</w:t>
            </w:r>
          </w:p>
        </w:tc>
        <w:tc>
          <w:tcPr>
            <w:tcW w:type="dxa" w:w="3571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No accepted live producer result</w:t>
            </w:r>
          </w:p>
        </w:tc>
        <w:tc>
          <w:tcPr>
            <w:tcW w:type="dxa" w:w="4075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Binance -&gt; SQLite -&gt; GetQuotes -&gt; native 1m chart</w:t>
            </w:r>
          </w:p>
        </w:tc>
      </w:tr>
    </w:tbl>
    <w:p>
      <w:pPr>
        <w:spacing w:after="0"/>
      </w:pPr>
    </w:p>
    <w:p>
      <w:pPr>
        <w:pStyle w:val="Heading1"/>
      </w:pPr>
      <w:r>
        <w:t>10. Delivery and verification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664"/>
            <w:shd w:fill="E5EFF5"/>
          </w:tcPr>
          <w:p>
            <w:r>
              <w:rPr>
                <w:b/>
                <w:color w:val="1A384E"/>
                <w:sz w:val="15"/>
              </w:rPr>
              <w:t>Gate</w:t>
            </w:r>
          </w:p>
        </w:tc>
        <w:tc>
          <w:tcPr>
            <w:tcW w:type="dxa" w:w="7459"/>
            <w:shd w:fill="E5EFF5"/>
          </w:tcPr>
          <w:p>
            <w:r>
              <w:rPr>
                <w:b/>
                <w:color w:val="1A384E"/>
                <w:sz w:val="15"/>
              </w:rPr>
              <w:t>Required acceptance / exit evidence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sz w:val="15"/>
              </w:rPr>
              <w:t>G1  — In-host watchlist smoke</w:t>
            </w:r>
          </w:p>
        </w:tc>
        <w:tc>
          <w:tcPr>
            <w:tcW w:type="dxa" w:w="7459"/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Separately approved manual two-symbol test in N1: BTC/ETH registration, managed watchlist, idempotence, remove-only and native readback.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G2  — Exclusive automatic bridge</w:t>
            </w:r>
          </w:p>
        </w:tc>
        <w:tc>
          <w:tcPr>
            <w:tcW w:type="dxa" w:w="7459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Verified current-host identity and supported one-writer transaction; no ambiguous OLE binding; repeatable watchlist delta.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sz w:val="15"/>
              </w:rPr>
              <w:t>G3  — Genuine 1m candles</w:t>
            </w:r>
          </w:p>
        </w:tc>
        <w:tc>
          <w:tcPr>
            <w:tcW w:type="dxa" w:w="7459"/>
            <w:vAlign w:val="center"/>
          </w:tcPr>
          <w:p>
            <w:pPr>
              <w:spacing w:after="20"/>
            </w:pPr>
            <w:r>
              <w:rPr>
                <w:sz w:val="15"/>
              </w:rPr>
              <w:t>Bound SQLite path and approved producer; BTC/ETH three successive completed 1m bars; timestamp/OHLCV and native readback.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G4  — Coverage expansion</w:t>
            </w:r>
          </w:p>
        </w:tc>
        <w:tc>
          <w:tcPr>
            <w:tcW w:type="dxa" w:w="7459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13 -&gt; 497 -&gt; 500 -&gt; &gt;500; distinguish registered/watchlisted/subscribed/fresh. Identify capacity and backpressure.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sz w:val="15"/>
              </w:rPr>
              <w:t>G5  — Dynamic lifecycle</w:t>
            </w:r>
          </w:p>
        </w:tc>
        <w:tc>
          <w:tcPr>
            <w:tcW w:type="dxa" w:w="7459"/>
            <w:vAlign w:val="center"/>
          </w:tcPr>
          <w:p>
            <w:pPr>
              <w:spacing w:after="20"/>
            </w:pPr>
            <w:r>
              <w:rPr>
                <w:sz w:val="15"/>
              </w:rPr>
              <w:t>Start/00:00 UTC metadata reconciliation, newly listed 0-bar symbol, inactive removal-only, stale snapshot and reconnect.</w:t>
            </w:r>
          </w:p>
        </w:tc>
      </w:tr>
      <w:tr>
        <w:tc>
          <w:tcPr>
            <w:tcW w:type="dxa" w:w="2664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G6  — Durability/rollover</w:t>
            </w:r>
          </w:p>
        </w:tc>
        <w:tc>
          <w:tcPr>
            <w:tcW w:type="dxa" w:w="7459"/>
            <w:vAlign w:val="center"/>
            <w:shd w:fill="F5F8FA"/>
          </w:tcPr>
          <w:p>
            <w:pPr>
              <w:spacing w:after="20"/>
            </w:pPr>
            <w:r>
              <w:rPr>
                <w:sz w:val="15"/>
              </w:rPr>
              <w:t>Short-buffer 0/10/50/199, close/reopen, no historical eviction, daily/weekly correct UTC boundary.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sz w:val="15"/>
              </w:rPr>
              <w:t>G7  — Operational release</w:t>
            </w:r>
          </w:p>
        </w:tc>
        <w:tc>
          <w:tcPr>
            <w:tcW w:type="dxa" w:w="745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Independent native review, exact DLL/source SHA, rollback/containment, separate operator approval; protect R2 runtime.</w:t>
            </w:r>
          </w:p>
        </w:tc>
      </w:tr>
    </w:tbl>
    <w:p>
      <w:pPr>
        <w:spacing w:after="0"/>
      </w:pPr>
    </w:p>
    <w:p>
      <w:pPr>
        <w:pStyle w:val="Heading1"/>
      </w:pPr>
      <w:r>
        <w:t>11. Repository packaging and governance</w:t>
      </w:r>
    </w:p>
    <w:p>
      <w:r>
        <w:t>Canonical reference location: Docs/WSRTD_Owned_CPP_Plugin_Architecture_Reference_R1_2026-10-29.docx. Companion source for GitHub browsing: Docs/WSRTD_Owned_CPP_Architecture_R1.md. Treat this document as a project target-state/acceptance reference. Existing repository README and upstream historical plugin descriptions are not automatically evidence that the current owned C++ features are released.</w:t>
      </w:r>
    </w:p>
    <w:p>
      <w:r>
        <w:t>Every future implementation PR should report: source commit, changed files, ABI/build identity, test evidence, exact DLL SHA-256, native acceptance status, scope of production mutation, and unresolved risk. README feature descriptions must use “implemented offline”, “native verified”, “planned”, or “blocked” rather than unqualified completion claims.</w:t>
      </w:r>
    </w:p>
    <w:p>
      <w:pPr>
        <w:pStyle w:val="Heading1"/>
      </w:pPr>
      <w:r>
        <w:t>12. Reference identifiers</w:t>
      </w:r>
    </w:p>
    <w:p>
      <w:pPr>
        <w:pStyle w:val="CodeLine"/>
      </w:pPr>
      <w:r>
        <w:t>N1_DATABASE_BOUND_DLL_SHA256=ae7f6bc4e9ec61c3103b48d8ee43769173b44ed1619aa61ffbcc15b513af4179</w:t>
      </w:r>
    </w:p>
    <w:p>
      <w:pPr>
        <w:pStyle w:val="CodeLine"/>
      </w:pPr>
      <w:r>
        <w:t>N1_STATUS_TEST_DLL_SHA256=43b4d553bec590b236859593e851792184816d330332d9b80ccbf0db39f84732</w:t>
      </w:r>
    </w:p>
    <w:p>
      <w:pPr>
        <w:pStyle w:val="CodeLine"/>
      </w:pPr>
      <w:r>
        <w:t>N1_SEAL2_ZIP_SHA256=79a95c59c587c59e665c46410ae998ae2b2f31d67f608caff88f8297778be9ad</w:t>
      </w:r>
    </w:p>
    <w:p>
      <w:pPr>
        <w:pStyle w:val="CodeLine"/>
      </w:pPr>
      <w:r>
        <w:t>N1_NATIVE_BRIDGE_ZIP_SHA256=81e6a0f840d0b4839e858b84622a0b715765448ad4df3c09aa3912506960a737</w:t>
      </w:r>
    </w:p>
    <w:p>
      <w:pPr>
        <w:pStyle w:val="CodeLine"/>
      </w:pPr>
      <w:r>
        <w:t>N1_INHOST_READINESS_ZIP_SHA256=27ad2c86ae4978237d8a0487f75447bbb823e043c1486e1ddd9d794007628fb9</w:t>
      </w:r>
    </w:p>
    <w:p>
      <w:pPr>
        <w:pStyle w:val="Small"/>
      </w:pPr>
      <w:r>
        <w:t>Evidence basis: user-supplied sealed receipts, operator Windows CMD output and AmiBroker screenshots in the WSRTD project conversation; current GitHub repository metadata/README inspection. Source-code-to-built-binary provenance for every future candidate must be verified at release time. This reference is dated and should be revised after each native milestone.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1037" w:left="1181" w:header="360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D7A"/>
        <w:sz w:val="14"/>
      </w:rPr>
      <w:t>Reference baseline  ·  29 October 2026  |  Controlled design, not production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16573"/>
        <w:sz w:val="15"/>
      </w:rPr>
      <w:t>WSRTD  /  OWNED NATIVE PLUGIN  /  ARCHITECTURE R1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0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950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12B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05E6C"/>
      <w:sz w:val="16"/>
    </w:rPr>
  </w:style>
  <w:style w:type="paragraph" w:customStyle="1" w:styleId="CodeLine">
    <w:name w:val="CodeLine"/>
    <w:basedOn w:val="Norma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WSRTD Owned C++ AmiBroker Plugin — Architecture Reference R1</dc:title>
  <dc:subject>System architecture, target state, evidence and native acceptance gates</dc:subject>
  <dc:creator>WSRTD Project</dc:creator>
  <cp:keywords>AmiBroker, WSRTD, Binance, C++, data plugin, USDT perpetual, watchlist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