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2BDDF" w14:textId="77777777" w:rsidR="00723095" w:rsidRPr="00723095" w:rsidRDefault="00723095" w:rsidP="00723095">
      <w:r w:rsidRPr="00723095">
        <w:rPr>
          <w:b/>
          <w:bCs/>
        </w:rPr>
        <w:t>Emergency Room (ER) Triage for Suspected Stroke</w:t>
      </w:r>
    </w:p>
    <w:p w14:paraId="77CB14CF" w14:textId="77777777" w:rsidR="00723095" w:rsidRPr="00723095" w:rsidRDefault="00723095" w:rsidP="00723095">
      <w:r w:rsidRPr="00723095">
        <w:t>The triage and initial assessment in the ER for a suspected stroke must be rapid and structured, as "time is brain."</w:t>
      </w:r>
    </w:p>
    <w:p w14:paraId="44EA529E" w14:textId="77777777" w:rsidR="00723095" w:rsidRPr="00723095" w:rsidRDefault="00723095" w:rsidP="00723095">
      <w:pPr>
        <w:numPr>
          <w:ilvl w:val="0"/>
          <w:numId w:val="4"/>
        </w:numPr>
      </w:pPr>
      <w:r w:rsidRPr="00723095">
        <w:rPr>
          <w:b/>
          <w:bCs/>
        </w:rPr>
        <w:t>Prehospital Notification &amp; Initial Assessment:</w:t>
      </w:r>
      <w:r w:rsidRPr="00723095">
        <w:t xml:space="preserve"> Emergency Medical Services (EMS) should use prehospital stroke scales (such as FAST, LAPSS, CPSS, or ROSIER) to identify potential strokes and provide advance notification to the receiving hospital, which significantly shortens door-to-imaging and treatment times. Upon arrival, assess the patient's airway, breathing, and circulation (ABCs).</w:t>
      </w:r>
    </w:p>
    <w:p w14:paraId="6C705655" w14:textId="77777777" w:rsidR="00723095" w:rsidRPr="00723095" w:rsidRDefault="00723095" w:rsidP="00723095">
      <w:pPr>
        <w:numPr>
          <w:ilvl w:val="0"/>
          <w:numId w:val="4"/>
        </w:numPr>
      </w:pPr>
      <w:r w:rsidRPr="00723095">
        <w:rPr>
          <w:b/>
          <w:bCs/>
        </w:rPr>
        <w:t>Neurological Evaluation:</w:t>
      </w:r>
      <w:r w:rsidRPr="00723095">
        <w:t xml:space="preserve"> Establish the exact symptom onset time or "last-known-well" time. Perform a baseline neurological evaluation using standardized scales like the Glasgow Coma Scale (GCS) and the National Institutes of Health Stroke Scale (NIHSS).</w:t>
      </w:r>
    </w:p>
    <w:p w14:paraId="2CACDA0A" w14:textId="77777777" w:rsidR="00723095" w:rsidRPr="00723095" w:rsidRDefault="00723095" w:rsidP="00723095">
      <w:pPr>
        <w:numPr>
          <w:ilvl w:val="0"/>
          <w:numId w:val="4"/>
        </w:numPr>
      </w:pPr>
      <w:r w:rsidRPr="00723095">
        <w:rPr>
          <w:b/>
          <w:bCs/>
        </w:rPr>
        <w:t>Laboratory Tests:</w:t>
      </w:r>
      <w:r w:rsidRPr="00723095">
        <w:t xml:space="preserve"> Immediately check blood glucose to rule out hypoglycemia as a stroke mimic. Perform essential labs including complete blood count (CBC), prothrombin time (PT/INR), activated partial thromboplastin time (aPTT), platelets, cardiac troponin, and an electrocardiogram (ECG). </w:t>
      </w:r>
      <w:r w:rsidRPr="00723095">
        <w:rPr>
          <w:b/>
          <w:bCs/>
        </w:rPr>
        <w:t>Do not let these tests delay neuroimaging or acute treatment unless a bleeding abnormality is suspected</w:t>
      </w:r>
      <w:r w:rsidRPr="00723095">
        <w:t>.</w:t>
      </w:r>
    </w:p>
    <w:p w14:paraId="7E357F7B" w14:textId="77777777" w:rsidR="00723095" w:rsidRPr="00723095" w:rsidRDefault="00723095" w:rsidP="00723095">
      <w:pPr>
        <w:numPr>
          <w:ilvl w:val="0"/>
          <w:numId w:val="4"/>
        </w:numPr>
      </w:pPr>
      <w:r w:rsidRPr="00723095">
        <w:rPr>
          <w:b/>
          <w:bCs/>
        </w:rPr>
        <w:t>Neuroimaging:</w:t>
      </w:r>
      <w:r w:rsidRPr="00723095">
        <w:t xml:space="preserve"> Rapidly perform a non-contrast head CT or MRI to definitively distinguish between an ischemic stroke and a hemorrhagic stroke. If a large vessel occlusion (LVO) is suspected, a CT angiography (CTA) or MR angiography (MRA) should be performed.</w:t>
      </w:r>
    </w:p>
    <w:p w14:paraId="65688752" w14:textId="77777777" w:rsidR="00723095" w:rsidRPr="00723095" w:rsidRDefault="00723095" w:rsidP="00723095">
      <w:r w:rsidRPr="00723095">
        <w:pict w14:anchorId="50B43B48">
          <v:rect id="_x0000_i1025" style="width:0;height:1.5pt" o:hralign="center" o:hrstd="t" o:hr="t" fillcolor="#a0a0a0" stroked="f"/>
        </w:pict>
      </w:r>
    </w:p>
    <w:p w14:paraId="761C3585" w14:textId="77777777" w:rsidR="00723095" w:rsidRPr="00723095" w:rsidRDefault="00723095" w:rsidP="00723095">
      <w:r w:rsidRPr="00723095">
        <w:rPr>
          <w:b/>
          <w:bCs/>
        </w:rPr>
        <w:t>Flowchart of Management of Ischemic Stroke</w:t>
      </w:r>
    </w:p>
    <w:p w14:paraId="333E1C43" w14:textId="77777777" w:rsidR="00723095" w:rsidRPr="00723095" w:rsidRDefault="00723095" w:rsidP="00723095">
      <w:r w:rsidRPr="00723095">
        <w:t>The chain of ischemic stroke management follows a stepwise approach from acute reperfusion to secondary prevention:</w:t>
      </w:r>
    </w:p>
    <w:p w14:paraId="70CF145F" w14:textId="77777777" w:rsidR="00723095" w:rsidRPr="00723095" w:rsidRDefault="00723095" w:rsidP="00723095">
      <w:r w:rsidRPr="00723095">
        <w:rPr>
          <w:b/>
          <w:bCs/>
        </w:rPr>
        <w:t>1. Hyperacute Reperfusion (Vascular Recanalization):</w:t>
      </w:r>
    </w:p>
    <w:p w14:paraId="534D7F24" w14:textId="77777777" w:rsidR="00723095" w:rsidRPr="00723095" w:rsidRDefault="00723095" w:rsidP="00723095">
      <w:pPr>
        <w:numPr>
          <w:ilvl w:val="0"/>
          <w:numId w:val="5"/>
        </w:numPr>
      </w:pPr>
      <w:r w:rsidRPr="00723095">
        <w:rPr>
          <w:b/>
          <w:bCs/>
        </w:rPr>
        <w:t>Within 4.5 Hours:</w:t>
      </w:r>
      <w:r w:rsidRPr="00723095">
        <w:t xml:space="preserve"> If the patient has no contraindications, blood pressure </w:t>
      </w:r>
      <w:r w:rsidRPr="00723095">
        <w:lastRenderedPageBreak/>
        <w:t xml:space="preserve">is controlled below </w:t>
      </w:r>
      <w:r w:rsidRPr="00723095">
        <w:rPr>
          <w:b/>
          <w:bCs/>
        </w:rPr>
        <w:t>185/110 mmHg</w:t>
      </w:r>
      <w:r w:rsidRPr="00723095">
        <w:t xml:space="preserve">, and blood glucose is between 50-400 mg/dL, </w:t>
      </w:r>
      <w:r w:rsidRPr="00723095">
        <w:rPr>
          <w:b/>
          <w:bCs/>
        </w:rPr>
        <w:t>Intravenous Thrombolysis (IVT)</w:t>
      </w:r>
      <w:r w:rsidRPr="00723095">
        <w:t xml:space="preserve"> is the first-line treatment. The recommended dosage is Alteplase (0.9 mg/kg) or Tenecteplase (0.25 mg/kg).</w:t>
      </w:r>
    </w:p>
    <w:p w14:paraId="5F136104" w14:textId="77777777" w:rsidR="00723095" w:rsidRPr="00723095" w:rsidRDefault="00723095" w:rsidP="00723095">
      <w:pPr>
        <w:numPr>
          <w:ilvl w:val="0"/>
          <w:numId w:val="5"/>
        </w:numPr>
      </w:pPr>
      <w:r w:rsidRPr="00723095">
        <w:rPr>
          <w:b/>
          <w:bCs/>
        </w:rPr>
        <w:t>4.5 to 24 Hours (or Wake-up/Unknown Onset):</w:t>
      </w:r>
      <w:r w:rsidRPr="00723095">
        <w:t xml:space="preserve"> Assess for </w:t>
      </w:r>
      <w:r w:rsidRPr="00723095">
        <w:rPr>
          <w:b/>
          <w:bCs/>
        </w:rPr>
        <w:t>Endovascular Thrombectomy (EVT)</w:t>
      </w:r>
      <w:r w:rsidRPr="00723095">
        <w:t>. EVT is recommended for anterior circulation strokes within 6 hours, or up to 24 hours if advanced imaging (like CT Perfusion or multiphase CTA) shows salvageable brain tissue (penumbra). For basilar artery (posterior circulation) occlusion, EVT is indicated if the NIHSS is $\</w:t>
      </w:r>
      <w:proofErr w:type="spellStart"/>
      <w:r w:rsidRPr="00723095">
        <w:t>ge</w:t>
      </w:r>
      <w:proofErr w:type="spellEnd"/>
      <w:r w:rsidRPr="00723095">
        <w:t>$ 10 and PC-ASPECTS is $\</w:t>
      </w:r>
      <w:proofErr w:type="spellStart"/>
      <w:r w:rsidRPr="00723095">
        <w:t>ge</w:t>
      </w:r>
      <w:proofErr w:type="spellEnd"/>
      <w:r w:rsidRPr="00723095">
        <w:t>$ 6. If eligible for IVT, it should be given without delaying the EVT procedure.</w:t>
      </w:r>
    </w:p>
    <w:p w14:paraId="057DC799" w14:textId="77777777" w:rsidR="00723095" w:rsidRPr="00723095" w:rsidRDefault="00723095" w:rsidP="00723095">
      <w:r w:rsidRPr="00723095">
        <w:rPr>
          <w:b/>
          <w:bCs/>
        </w:rPr>
        <w:t>2. Reducing Early Recurrence (Acute to 72 Hours):</w:t>
      </w:r>
    </w:p>
    <w:p w14:paraId="455EF6B3" w14:textId="77777777" w:rsidR="00723095" w:rsidRPr="00723095" w:rsidRDefault="00723095" w:rsidP="00723095">
      <w:pPr>
        <w:numPr>
          <w:ilvl w:val="0"/>
          <w:numId w:val="6"/>
        </w:numPr>
      </w:pPr>
      <w:r w:rsidRPr="00723095">
        <w:rPr>
          <w:b/>
          <w:bCs/>
        </w:rPr>
        <w:t>Non-Cardioembolic Stroke:</w:t>
      </w:r>
      <w:r w:rsidRPr="00723095">
        <w:t xml:space="preserve"> For minor ischemic stroke (NIHSS $\le$ 3-5) or high-risk transient ischemic attack (TIA), initiate </w:t>
      </w:r>
      <w:r w:rsidRPr="00723095">
        <w:rPr>
          <w:b/>
          <w:bCs/>
        </w:rPr>
        <w:t>Dual Antiplatelet Therapy (DAPT)</w:t>
      </w:r>
      <w:r w:rsidRPr="00723095">
        <w:t xml:space="preserve"> (e.g., aspirin + clopidogrel or ticagrelor) within 24-72 hours, and continue for 21-30 days before transitioning to monotherapy.</w:t>
      </w:r>
    </w:p>
    <w:p w14:paraId="672AFAC1" w14:textId="77777777" w:rsidR="00723095" w:rsidRPr="00723095" w:rsidRDefault="00723095" w:rsidP="00723095">
      <w:pPr>
        <w:numPr>
          <w:ilvl w:val="0"/>
          <w:numId w:val="6"/>
        </w:numPr>
      </w:pPr>
      <w:r w:rsidRPr="00723095">
        <w:rPr>
          <w:b/>
          <w:bCs/>
        </w:rPr>
        <w:t>Cardioembolic Stroke:</w:t>
      </w:r>
      <w:r w:rsidRPr="00723095">
        <w:t xml:space="preserve"> For patients with atrial fibrillation who suffer a TIA or a minor-to-moderate stroke, </w:t>
      </w:r>
      <w:r w:rsidRPr="00723095">
        <w:rPr>
          <w:b/>
          <w:bCs/>
        </w:rPr>
        <w:t>Direct Oral Anticoagulants (DOACs)</w:t>
      </w:r>
      <w:r w:rsidRPr="00723095">
        <w:t xml:space="preserve"> can be initiated early (within 4 days) to prevent recurrence. For severe strokes, wait at least one week and re-evaluate with imaging.</w:t>
      </w:r>
    </w:p>
    <w:p w14:paraId="76E2B41F" w14:textId="77777777" w:rsidR="00723095" w:rsidRPr="00723095" w:rsidRDefault="00723095" w:rsidP="00723095">
      <w:r w:rsidRPr="00723095">
        <w:rPr>
          <w:b/>
          <w:bCs/>
        </w:rPr>
        <w:t xml:space="preserve">3. </w:t>
      </w:r>
      <w:proofErr w:type="spellStart"/>
      <w:r w:rsidRPr="00723095">
        <w:rPr>
          <w:b/>
          <w:bCs/>
        </w:rPr>
        <w:t>Neurointensive</w:t>
      </w:r>
      <w:proofErr w:type="spellEnd"/>
      <w:r w:rsidRPr="00723095">
        <w:rPr>
          <w:b/>
          <w:bCs/>
        </w:rPr>
        <w:t xml:space="preserve"> Care &amp; Secondary Prevention:</w:t>
      </w:r>
    </w:p>
    <w:p w14:paraId="72250CAF" w14:textId="77777777" w:rsidR="00723095" w:rsidRPr="00723095" w:rsidRDefault="00723095" w:rsidP="00723095">
      <w:pPr>
        <w:numPr>
          <w:ilvl w:val="0"/>
          <w:numId w:val="7"/>
        </w:numPr>
      </w:pPr>
      <w:r w:rsidRPr="00723095">
        <w:rPr>
          <w:b/>
          <w:bCs/>
        </w:rPr>
        <w:t>Blood Pressure:</w:t>
      </w:r>
      <w:r w:rsidRPr="00723095">
        <w:t xml:space="preserve"> Maintain BP </w:t>
      </w:r>
      <w:r w:rsidRPr="00723095">
        <w:rPr>
          <w:b/>
          <w:bCs/>
        </w:rPr>
        <w:t>&lt; 180/105 mmHg</w:t>
      </w:r>
      <w:r w:rsidRPr="00723095">
        <w:t xml:space="preserve"> for 24 hours after IVT or EVT interventions. For long-term prevention, target a BP of </w:t>
      </w:r>
      <w:r w:rsidRPr="00723095">
        <w:rPr>
          <w:b/>
          <w:bCs/>
        </w:rPr>
        <w:t>&lt; 130/80 mmHg</w:t>
      </w:r>
      <w:r w:rsidRPr="00723095">
        <w:t>.</w:t>
      </w:r>
    </w:p>
    <w:p w14:paraId="1264867F" w14:textId="77777777" w:rsidR="00723095" w:rsidRPr="00723095" w:rsidRDefault="00723095" w:rsidP="00723095">
      <w:pPr>
        <w:numPr>
          <w:ilvl w:val="0"/>
          <w:numId w:val="7"/>
        </w:numPr>
      </w:pPr>
      <w:r w:rsidRPr="00723095">
        <w:rPr>
          <w:b/>
          <w:bCs/>
        </w:rPr>
        <w:t>Metabolic Control:</w:t>
      </w:r>
      <w:r w:rsidRPr="00723095">
        <w:t xml:space="preserve"> Maintain blood glucose between 140–180 mg/dL during the acute phase and avoid hypoglycemia. Ensure lipid control with statins, targeting an LDL-C </w:t>
      </w:r>
      <w:r w:rsidRPr="00723095">
        <w:rPr>
          <w:b/>
          <w:bCs/>
        </w:rPr>
        <w:t>&lt; 70 mg/dL</w:t>
      </w:r>
      <w:r w:rsidRPr="00723095">
        <w:t xml:space="preserve"> if atherosclerotic cardiovascular disease is present.</w:t>
      </w:r>
    </w:p>
    <w:p w14:paraId="35885F6C" w14:textId="77777777" w:rsidR="00723095" w:rsidRPr="00723095" w:rsidRDefault="00723095" w:rsidP="00723095">
      <w:r w:rsidRPr="00723095">
        <w:pict w14:anchorId="2D531ED6">
          <v:rect id="_x0000_i1026" style="width:0;height:1.5pt" o:hralign="center" o:hrstd="t" o:hr="t" fillcolor="#a0a0a0" stroked="f"/>
        </w:pict>
      </w:r>
    </w:p>
    <w:p w14:paraId="4BC18F4B" w14:textId="77777777" w:rsidR="00723095" w:rsidRPr="00723095" w:rsidRDefault="00723095" w:rsidP="00723095">
      <w:r w:rsidRPr="00723095">
        <w:rPr>
          <w:b/>
          <w:bCs/>
        </w:rPr>
        <w:t>Flowchart of Management of Hemorrhagic Stroke (ICH)</w:t>
      </w:r>
    </w:p>
    <w:p w14:paraId="5BA32103" w14:textId="77777777" w:rsidR="00723095" w:rsidRPr="00723095" w:rsidRDefault="00723095" w:rsidP="00723095">
      <w:r w:rsidRPr="00723095">
        <w:lastRenderedPageBreak/>
        <w:t>Management of spontaneous Intracerebral Hemorrhage (ICH) focuses on preventing hematoma expansion, relieving intracranial pressure, and preventing secondary brain injury.</w:t>
      </w:r>
    </w:p>
    <w:p w14:paraId="1C365818" w14:textId="77777777" w:rsidR="00723095" w:rsidRPr="00723095" w:rsidRDefault="00723095" w:rsidP="00723095">
      <w:r w:rsidRPr="00723095">
        <w:rPr>
          <w:b/>
          <w:bCs/>
        </w:rPr>
        <w:t>1. Acute Medical Management:</w:t>
      </w:r>
    </w:p>
    <w:p w14:paraId="6BDE48B0" w14:textId="77777777" w:rsidR="00723095" w:rsidRPr="00723095" w:rsidRDefault="00723095" w:rsidP="00723095">
      <w:pPr>
        <w:numPr>
          <w:ilvl w:val="0"/>
          <w:numId w:val="8"/>
        </w:numPr>
      </w:pPr>
      <w:r w:rsidRPr="00723095">
        <w:rPr>
          <w:b/>
          <w:bCs/>
        </w:rPr>
        <w:t>Emergency Blood Pressure Lowering:</w:t>
      </w:r>
      <w:r w:rsidRPr="00723095">
        <w:t xml:space="preserve"> For patients with mild-to-moderate ICH presenting with a systolic blood pressure (SBP) between 150-220 mmHg, smoothly and rapidly lower the SBP to a </w:t>
      </w:r>
      <w:r w:rsidRPr="00723095">
        <w:rPr>
          <w:b/>
          <w:bCs/>
        </w:rPr>
        <w:t>target of 140 mmHg</w:t>
      </w:r>
      <w:r w:rsidRPr="00723095">
        <w:t xml:space="preserve">, keeping it strictly within the 130-150 mmHg range. </w:t>
      </w:r>
      <w:r w:rsidRPr="00723095">
        <w:rPr>
          <w:b/>
          <w:bCs/>
        </w:rPr>
        <w:t>Avoid dropping SBP abruptly below 130 mmHg</w:t>
      </w:r>
      <w:r w:rsidRPr="00723095">
        <w:t>, as it may be harmful.</w:t>
      </w:r>
    </w:p>
    <w:p w14:paraId="49977C13" w14:textId="77777777" w:rsidR="00723095" w:rsidRPr="00723095" w:rsidRDefault="00723095" w:rsidP="00723095">
      <w:pPr>
        <w:numPr>
          <w:ilvl w:val="0"/>
          <w:numId w:val="8"/>
        </w:numPr>
      </w:pPr>
      <w:r w:rsidRPr="00723095">
        <w:rPr>
          <w:b/>
          <w:bCs/>
        </w:rPr>
        <w:t>Coagulopathy Reversal:</w:t>
      </w:r>
      <w:r w:rsidRPr="00723095">
        <w:t xml:space="preserve"> If the hemorrhage is anticoagulant-related, discontinue the drug immediately. </w:t>
      </w:r>
    </w:p>
    <w:p w14:paraId="537FD3B8" w14:textId="77777777" w:rsidR="00723095" w:rsidRPr="00723095" w:rsidRDefault="00723095" w:rsidP="00723095">
      <w:pPr>
        <w:numPr>
          <w:ilvl w:val="1"/>
          <w:numId w:val="8"/>
        </w:numPr>
      </w:pPr>
      <w:r w:rsidRPr="00723095">
        <w:t>For Vitamin K Antagonists (e.g., Warfarin), administer 4-Factor Prothrombin Complex Concentrate (4-F PCC) accompanied by intravenous Vitamin K to rapidly normalize the INR.</w:t>
      </w:r>
    </w:p>
    <w:p w14:paraId="69EA2C7B" w14:textId="77777777" w:rsidR="00723095" w:rsidRPr="00723095" w:rsidRDefault="00723095" w:rsidP="00723095">
      <w:pPr>
        <w:numPr>
          <w:ilvl w:val="1"/>
          <w:numId w:val="8"/>
        </w:numPr>
      </w:pPr>
      <w:r w:rsidRPr="00723095">
        <w:t xml:space="preserve">For DOACs, administer specific reversal agents if available, such as </w:t>
      </w:r>
      <w:proofErr w:type="spellStart"/>
      <w:r w:rsidRPr="00723095">
        <w:t>Idarucizumab</w:t>
      </w:r>
      <w:proofErr w:type="spellEnd"/>
      <w:r w:rsidRPr="00723095">
        <w:t xml:space="preserve"> for Dabigatran, or Andexanet alfa for Factor Xa inhibitors.</w:t>
      </w:r>
    </w:p>
    <w:p w14:paraId="57B96770" w14:textId="77777777" w:rsidR="00723095" w:rsidRPr="00723095" w:rsidRDefault="00723095" w:rsidP="00723095">
      <w:r w:rsidRPr="00723095">
        <w:rPr>
          <w:b/>
          <w:bCs/>
        </w:rPr>
        <w:t>2. Surgical Intervention (Hematoma Evacuation):</w:t>
      </w:r>
    </w:p>
    <w:p w14:paraId="7EC21E15" w14:textId="77777777" w:rsidR="00723095" w:rsidRPr="00723095" w:rsidRDefault="00723095" w:rsidP="00723095">
      <w:pPr>
        <w:numPr>
          <w:ilvl w:val="0"/>
          <w:numId w:val="9"/>
        </w:numPr>
      </w:pPr>
      <w:r w:rsidRPr="00723095">
        <w:rPr>
          <w:b/>
          <w:bCs/>
        </w:rPr>
        <w:t>Cerebellar ICH:</w:t>
      </w:r>
      <w:r w:rsidRPr="00723095">
        <w:t xml:space="preserve"> If the hematoma is &gt; 15 mL, or if there is neurological deterioration, brainstem compression, or obstructive hydrocephalus, immediate surgical evacuation is strongly recommended to reduce mortality.</w:t>
      </w:r>
    </w:p>
    <w:p w14:paraId="78090921" w14:textId="77777777" w:rsidR="00723095" w:rsidRPr="00723095" w:rsidRDefault="00723095" w:rsidP="00723095">
      <w:pPr>
        <w:numPr>
          <w:ilvl w:val="0"/>
          <w:numId w:val="9"/>
        </w:numPr>
      </w:pPr>
      <w:r w:rsidRPr="00723095">
        <w:rPr>
          <w:b/>
          <w:bCs/>
        </w:rPr>
        <w:t>Supratentorial ICH:</w:t>
      </w:r>
      <w:r w:rsidRPr="00723095">
        <w:t xml:space="preserve"> </w:t>
      </w:r>
      <w:r w:rsidRPr="00723095">
        <w:rPr>
          <w:b/>
          <w:bCs/>
        </w:rPr>
        <w:t>Minimally Invasive Surgery (MIS)</w:t>
      </w:r>
      <w:r w:rsidRPr="00723095">
        <w:t xml:space="preserve"> using endoscopy or stereotactic aspiration is reasonable and can lower mortality for hematomas &gt; 20-30 mL with a GCS of 5-12. Decompressive craniectomy can be considered as a life-saving measure for comatose patients with midline shift or refractory intracranial hypertension.</w:t>
      </w:r>
    </w:p>
    <w:p w14:paraId="0DB040C9" w14:textId="77777777" w:rsidR="00723095" w:rsidRPr="00723095" w:rsidRDefault="00723095" w:rsidP="00723095">
      <w:pPr>
        <w:numPr>
          <w:ilvl w:val="0"/>
          <w:numId w:val="9"/>
        </w:numPr>
      </w:pPr>
      <w:r w:rsidRPr="00723095">
        <w:rPr>
          <w:b/>
          <w:bCs/>
        </w:rPr>
        <w:t>Intraventricular Hemorrhage (IVH):</w:t>
      </w:r>
      <w:r w:rsidRPr="00723095">
        <w:t xml:space="preserve"> Placement of an External Ventricular Drain (EVD) is used to treat hydrocephalus. For severe IVH with a small ICH (&lt; 30 mL), combining EVD with minimally invasive surgery and/or </w:t>
      </w:r>
      <w:r w:rsidRPr="00723095">
        <w:lastRenderedPageBreak/>
        <w:t>thrombolytic agents can safely reduce mortality.</w:t>
      </w:r>
    </w:p>
    <w:p w14:paraId="3DB213FF" w14:textId="77777777" w:rsidR="00723095" w:rsidRPr="00723095" w:rsidRDefault="00723095" w:rsidP="00723095">
      <w:r w:rsidRPr="00723095">
        <w:rPr>
          <w:b/>
          <w:bCs/>
        </w:rPr>
        <w:t xml:space="preserve">3. </w:t>
      </w:r>
      <w:proofErr w:type="spellStart"/>
      <w:r w:rsidRPr="00723095">
        <w:rPr>
          <w:b/>
          <w:bCs/>
        </w:rPr>
        <w:t>Neurointensive</w:t>
      </w:r>
      <w:proofErr w:type="spellEnd"/>
      <w:r w:rsidRPr="00723095">
        <w:rPr>
          <w:b/>
          <w:bCs/>
        </w:rPr>
        <w:t xml:space="preserve"> Care Unit (ICU) Management:</w:t>
      </w:r>
    </w:p>
    <w:p w14:paraId="73B5E138" w14:textId="77777777" w:rsidR="00723095" w:rsidRPr="00723095" w:rsidRDefault="00723095" w:rsidP="00723095">
      <w:pPr>
        <w:numPr>
          <w:ilvl w:val="0"/>
          <w:numId w:val="10"/>
        </w:numPr>
      </w:pPr>
      <w:r w:rsidRPr="00723095">
        <w:rPr>
          <w:b/>
          <w:bCs/>
        </w:rPr>
        <w:t>Standardized Care Bundles (</w:t>
      </w:r>
      <w:proofErr w:type="spellStart"/>
      <w:r w:rsidRPr="00723095">
        <w:rPr>
          <w:b/>
          <w:bCs/>
        </w:rPr>
        <w:t>FeSS</w:t>
      </w:r>
      <w:proofErr w:type="spellEnd"/>
      <w:r w:rsidRPr="00723095">
        <w:rPr>
          <w:b/>
          <w:bCs/>
        </w:rPr>
        <w:t>):</w:t>
      </w:r>
      <w:r w:rsidRPr="00723095">
        <w:t xml:space="preserve"> Continuously monitor and aggressively treat fever, correct hyperglycemia, and perform formal dysphagia screening before oral intake to prevent pneumonia and lower mortality.</w:t>
      </w:r>
    </w:p>
    <w:p w14:paraId="238E1B67" w14:textId="77777777" w:rsidR="00723095" w:rsidRPr="00723095" w:rsidRDefault="00723095" w:rsidP="00723095">
      <w:pPr>
        <w:numPr>
          <w:ilvl w:val="0"/>
          <w:numId w:val="10"/>
        </w:numPr>
      </w:pPr>
      <w:r w:rsidRPr="00723095">
        <w:rPr>
          <w:b/>
          <w:bCs/>
        </w:rPr>
        <w:t>Seizure Prophylaxis:</w:t>
      </w:r>
      <w:r w:rsidRPr="00723095">
        <w:t xml:space="preserve"> Treat clinical seizures or electroencephalographic (EEG) seizures with antiepileptic drugs. </w:t>
      </w:r>
      <w:r w:rsidRPr="00723095">
        <w:rPr>
          <w:b/>
          <w:bCs/>
        </w:rPr>
        <w:t>Do not administer prophylactic antiepileptic drugs</w:t>
      </w:r>
      <w:r w:rsidRPr="00723095">
        <w:t xml:space="preserve"> if there is no evidence of seizures, as it provides no benefit and may worsen outcomes.</w:t>
      </w:r>
    </w:p>
    <w:p w14:paraId="54367DF4" w14:textId="77777777" w:rsidR="00723095" w:rsidRDefault="00723095" w:rsidP="00723095"/>
    <w:p w14:paraId="35462626" w14:textId="77777777" w:rsidR="00723095" w:rsidRPr="00723095" w:rsidRDefault="00723095" w:rsidP="00723095"/>
    <w:p w14:paraId="71ACA5EB" w14:textId="46C0241E" w:rsidR="00723095" w:rsidRPr="00723095" w:rsidRDefault="00723095" w:rsidP="00723095">
      <w:r w:rsidRPr="00723095">
        <w:t>在自發性腦出血（</w:t>
      </w:r>
      <w:r w:rsidRPr="00723095">
        <w:t>ICH</w:t>
      </w:r>
      <w:r w:rsidRPr="00723095">
        <w:t>）中，早期血腫擴大（</w:t>
      </w:r>
      <w:r w:rsidRPr="00723095">
        <w:t>Hematoma Expansion, HE</w:t>
      </w:r>
      <w:r w:rsidRPr="00723095">
        <w:t>）與較差的神經功能預後及高死亡風險密切相關。為了及早預測與防範血腫擴大，電腦斷層（</w:t>
      </w:r>
      <w:r w:rsidRPr="00723095">
        <w:t>CT</w:t>
      </w:r>
      <w:r w:rsidRPr="00723095">
        <w:t>）與電腦斷層血管造影（</w:t>
      </w:r>
      <w:r w:rsidRPr="00723095">
        <w:t>CTA</w:t>
      </w:r>
      <w:r w:rsidRPr="00723095">
        <w:t>）扮演著關鍵的預測與評估角色，具體指標與應用如下：</w:t>
      </w:r>
    </w:p>
    <w:p w14:paraId="07661565" w14:textId="77777777" w:rsidR="00723095" w:rsidRPr="00723095" w:rsidRDefault="00723095" w:rsidP="00723095">
      <w:r w:rsidRPr="00723095">
        <w:rPr>
          <w:b/>
          <w:bCs/>
        </w:rPr>
        <w:t xml:space="preserve">1. </w:t>
      </w:r>
      <w:r w:rsidRPr="00723095">
        <w:rPr>
          <w:b/>
          <w:bCs/>
        </w:rPr>
        <w:t>電腦斷層血管造影（</w:t>
      </w:r>
      <w:r w:rsidRPr="00723095">
        <w:rPr>
          <w:b/>
          <w:bCs/>
        </w:rPr>
        <w:t>CTA</w:t>
      </w:r>
      <w:r w:rsidRPr="00723095">
        <w:rPr>
          <w:b/>
          <w:bCs/>
        </w:rPr>
        <w:t>）的預測角色：斑點標記（</w:t>
      </w:r>
      <w:r w:rsidRPr="00723095">
        <w:rPr>
          <w:b/>
          <w:bCs/>
        </w:rPr>
        <w:t>Spot Sign</w:t>
      </w:r>
      <w:r w:rsidRPr="00723095">
        <w:rPr>
          <w:b/>
          <w:bCs/>
        </w:rPr>
        <w:t>）</w:t>
      </w:r>
    </w:p>
    <w:p w14:paraId="724F8241" w14:textId="77777777" w:rsidR="00723095" w:rsidRPr="00723095" w:rsidRDefault="00723095" w:rsidP="00723095">
      <w:pPr>
        <w:numPr>
          <w:ilvl w:val="0"/>
          <w:numId w:val="1"/>
        </w:numPr>
      </w:pPr>
      <w:r w:rsidRPr="00723095">
        <w:rPr>
          <w:b/>
          <w:bCs/>
        </w:rPr>
        <w:t>影像特徵與意義</w:t>
      </w:r>
      <w:r w:rsidRPr="00723095">
        <w:t>：在發病早期的</w:t>
      </w:r>
      <w:r w:rsidRPr="00723095">
        <w:t xml:space="preserve"> CTA </w:t>
      </w:r>
      <w:r w:rsidRPr="00723095">
        <w:t>影像上若出現</w:t>
      </w:r>
      <w:r w:rsidRPr="00723095">
        <w:rPr>
          <w:b/>
          <w:bCs/>
        </w:rPr>
        <w:t>斑點標記（</w:t>
      </w:r>
      <w:r w:rsidRPr="00723095">
        <w:rPr>
          <w:b/>
          <w:bCs/>
        </w:rPr>
        <w:t>Spot Sign</w:t>
      </w:r>
      <w:r w:rsidRPr="00723095">
        <w:rPr>
          <w:b/>
          <w:bCs/>
        </w:rPr>
        <w:t>）</w:t>
      </w:r>
      <w:r w:rsidRPr="00723095">
        <w:t>，是預測後續血腫擴大最知名的影像學標誌。</w:t>
      </w:r>
    </w:p>
    <w:p w14:paraId="6F44EB26" w14:textId="77777777" w:rsidR="00723095" w:rsidRPr="00723095" w:rsidRDefault="00723095" w:rsidP="00723095">
      <w:pPr>
        <w:numPr>
          <w:ilvl w:val="0"/>
          <w:numId w:val="1"/>
        </w:numPr>
      </w:pPr>
      <w:r w:rsidRPr="00723095">
        <w:rPr>
          <w:b/>
          <w:bCs/>
        </w:rPr>
        <w:t>預後關聯</w:t>
      </w:r>
      <w:r w:rsidRPr="00723095">
        <w:t>：臨床研究與薈萃分析均指出，</w:t>
      </w:r>
      <w:r w:rsidRPr="00723095">
        <w:t xml:space="preserve">CTA </w:t>
      </w:r>
      <w:r w:rsidRPr="00723095">
        <w:t>具有斑點標記的患者，發生血腫擴大的機率顯著較高，且伴隨較差的</w:t>
      </w:r>
      <w:r w:rsidRPr="00723095">
        <w:t xml:space="preserve"> 90 </w:t>
      </w:r>
      <w:r w:rsidRPr="00723095">
        <w:t>天死亡率與功能預後（改良</w:t>
      </w:r>
      <w:r w:rsidRPr="00723095">
        <w:t xml:space="preserve"> Rankin </w:t>
      </w:r>
      <w:r w:rsidRPr="00723095">
        <w:t>量表</w:t>
      </w:r>
      <w:r w:rsidRPr="00723095">
        <w:t xml:space="preserve"> </w:t>
      </w:r>
      <w:proofErr w:type="spellStart"/>
      <w:r w:rsidRPr="00723095">
        <w:t>mRS</w:t>
      </w:r>
      <w:proofErr w:type="spellEnd"/>
      <w:r w:rsidRPr="00723095">
        <w:t xml:space="preserve"> </w:t>
      </w:r>
      <w:r w:rsidRPr="00723095">
        <w:t>評分較高）。</w:t>
      </w:r>
    </w:p>
    <w:p w14:paraId="41FE149B" w14:textId="77777777" w:rsidR="00723095" w:rsidRPr="00723095" w:rsidRDefault="00723095" w:rsidP="00723095">
      <w:pPr>
        <w:numPr>
          <w:ilvl w:val="0"/>
          <w:numId w:val="1"/>
        </w:numPr>
      </w:pPr>
      <w:r w:rsidRPr="00723095">
        <w:rPr>
          <w:b/>
          <w:bCs/>
        </w:rPr>
        <w:t>時效性</w:t>
      </w:r>
      <w:r w:rsidRPr="00723095">
        <w:t>：斑點標記預測</w:t>
      </w:r>
      <w:r w:rsidRPr="00723095">
        <w:t xml:space="preserve"> HE </w:t>
      </w:r>
      <w:r w:rsidRPr="00723095">
        <w:t>的敏感性與陽性預測值具有高度的「時間依賴性」，在發病後</w:t>
      </w:r>
      <w:r w:rsidRPr="00723095">
        <w:t xml:space="preserve"> 0 </w:t>
      </w:r>
      <w:r w:rsidRPr="00723095">
        <w:t>到</w:t>
      </w:r>
      <w:r w:rsidRPr="00723095">
        <w:t xml:space="preserve"> 2 </w:t>
      </w:r>
      <w:r w:rsidRPr="00723095">
        <w:t>小時內進行掃描的預測力最高，並會隨著時間流逝而下降。指引建議在</w:t>
      </w:r>
      <w:r w:rsidRPr="00723095">
        <w:t xml:space="preserve"> ICH </w:t>
      </w:r>
      <w:r w:rsidRPr="00723095">
        <w:t>發病的最初幾個小時內使用</w:t>
      </w:r>
      <w:r w:rsidRPr="00723095">
        <w:t xml:space="preserve"> CTA </w:t>
      </w:r>
      <w:r w:rsidRPr="00723095">
        <w:t>來識別高風險患者是合理的。</w:t>
      </w:r>
    </w:p>
    <w:p w14:paraId="4B694544" w14:textId="77777777" w:rsidR="00723095" w:rsidRPr="00723095" w:rsidRDefault="00723095" w:rsidP="00723095">
      <w:r w:rsidRPr="00723095">
        <w:rPr>
          <w:b/>
          <w:bCs/>
        </w:rPr>
        <w:t xml:space="preserve">2. </w:t>
      </w:r>
      <w:r w:rsidRPr="00723095">
        <w:rPr>
          <w:b/>
          <w:bCs/>
        </w:rPr>
        <w:t>常規無造影電腦斷層（</w:t>
      </w:r>
      <w:r w:rsidRPr="00723095">
        <w:rPr>
          <w:b/>
          <w:bCs/>
        </w:rPr>
        <w:t>NCCT</w:t>
      </w:r>
      <w:r w:rsidRPr="00723095">
        <w:rPr>
          <w:b/>
          <w:bCs/>
        </w:rPr>
        <w:t>）的預測角色：密度與邊緣特徵</w:t>
      </w:r>
    </w:p>
    <w:p w14:paraId="20931C12" w14:textId="77777777" w:rsidR="00723095" w:rsidRPr="00723095" w:rsidRDefault="00723095" w:rsidP="00723095">
      <w:pPr>
        <w:numPr>
          <w:ilvl w:val="0"/>
          <w:numId w:val="2"/>
        </w:numPr>
      </w:pPr>
      <w:r w:rsidRPr="00723095">
        <w:rPr>
          <w:b/>
          <w:bCs/>
        </w:rPr>
        <w:t>影像特徵與意義</w:t>
      </w:r>
      <w:r w:rsidRPr="00723095">
        <w:t>：若考量顯影劑風險（如急性腎損傷）而僅使用無造影</w:t>
      </w:r>
      <w:r w:rsidRPr="00723095">
        <w:lastRenderedPageBreak/>
        <w:t>電腦斷層（</w:t>
      </w:r>
      <w:r w:rsidRPr="00723095">
        <w:t>NCCT</w:t>
      </w:r>
      <w:r w:rsidRPr="00723095">
        <w:t>），可透過觀察</w:t>
      </w:r>
      <w:r w:rsidRPr="00723095">
        <w:rPr>
          <w:b/>
          <w:bCs/>
        </w:rPr>
        <w:t>血腫內密度不均勻</w:t>
      </w:r>
      <w:r w:rsidRPr="00723095">
        <w:t>或其</w:t>
      </w:r>
      <w:r w:rsidRPr="00723095">
        <w:rPr>
          <w:b/>
          <w:bCs/>
        </w:rPr>
        <w:t>邊緣不規則</w:t>
      </w:r>
      <w:r w:rsidRPr="00723095">
        <w:t>來替代斑點標記，作為預測血腫擴大的指標。</w:t>
      </w:r>
    </w:p>
    <w:p w14:paraId="46A89443" w14:textId="77777777" w:rsidR="00723095" w:rsidRPr="00723095" w:rsidRDefault="00723095" w:rsidP="00723095">
      <w:pPr>
        <w:numPr>
          <w:ilvl w:val="0"/>
          <w:numId w:val="2"/>
        </w:numPr>
      </w:pPr>
      <w:r w:rsidRPr="00723095">
        <w:rPr>
          <w:b/>
          <w:bCs/>
        </w:rPr>
        <w:t>具體徵兆</w:t>
      </w:r>
      <w:r w:rsidRPr="00723095">
        <w:t>：這些高風險的</w:t>
      </w:r>
      <w:r w:rsidRPr="00723095">
        <w:t xml:space="preserve"> NCCT </w:t>
      </w:r>
      <w:r w:rsidRPr="00723095">
        <w:t>影像特徵在文獻中常被描述為：低密度徵象（</w:t>
      </w:r>
      <w:r w:rsidRPr="00723095">
        <w:t>hypodensity</w:t>
      </w:r>
      <w:r w:rsidRPr="00723095">
        <w:t>）、液面、漩渦、黑洞、混合、島狀（</w:t>
      </w:r>
      <w:r w:rsidRPr="00723095">
        <w:t>island</w:t>
      </w:r>
      <w:r w:rsidRPr="00723095">
        <w:t>）或衛星徵兆（</w:t>
      </w:r>
      <w:r w:rsidRPr="00723095">
        <w:t>satellite signs</w:t>
      </w:r>
      <w:r w:rsidRPr="00723095">
        <w:t>）等。薈萃分析顯示，這些</w:t>
      </w:r>
      <w:r w:rsidRPr="00723095">
        <w:t xml:space="preserve"> NCCT </w:t>
      </w:r>
      <w:r w:rsidRPr="00723095">
        <w:t>影像標誌同樣與後續的血腫擴大及不良預後有關。</w:t>
      </w:r>
    </w:p>
    <w:p w14:paraId="4C4CB13F" w14:textId="77777777" w:rsidR="00723095" w:rsidRPr="00723095" w:rsidRDefault="00723095" w:rsidP="00723095">
      <w:r w:rsidRPr="00723095">
        <w:rPr>
          <w:b/>
          <w:bCs/>
        </w:rPr>
        <w:t xml:space="preserve">3. </w:t>
      </w:r>
      <w:r w:rsidRPr="00723095">
        <w:rPr>
          <w:b/>
          <w:bCs/>
        </w:rPr>
        <w:t>後續追蹤</w:t>
      </w:r>
      <w:r w:rsidRPr="00723095">
        <w:rPr>
          <w:b/>
          <w:bCs/>
        </w:rPr>
        <w:t xml:space="preserve"> CT </w:t>
      </w:r>
      <w:r w:rsidRPr="00723095">
        <w:rPr>
          <w:b/>
          <w:bCs/>
        </w:rPr>
        <w:t>的確認角色</w:t>
      </w:r>
    </w:p>
    <w:p w14:paraId="35388EBC" w14:textId="77777777" w:rsidR="00723095" w:rsidRPr="00723095" w:rsidRDefault="00723095" w:rsidP="00723095">
      <w:pPr>
        <w:numPr>
          <w:ilvl w:val="0"/>
          <w:numId w:val="3"/>
        </w:numPr>
      </w:pPr>
      <w:r w:rsidRPr="00723095">
        <w:t>血腫擴大主要發生在</w:t>
      </w:r>
      <w:r w:rsidRPr="00723095">
        <w:t xml:space="preserve"> ICH </w:t>
      </w:r>
      <w:r w:rsidRPr="00723095">
        <w:t>發病後的早期（尤其是前</w:t>
      </w:r>
      <w:r w:rsidRPr="00723095">
        <w:t xml:space="preserve"> 3 </w:t>
      </w:r>
      <w:r w:rsidRPr="00723095">
        <w:t>小時內最高，</w:t>
      </w:r>
      <w:r w:rsidRPr="00723095">
        <w:t>12</w:t>
      </w:r>
      <w:r w:rsidRPr="00723095">
        <w:t>至</w:t>
      </w:r>
      <w:r w:rsidRPr="00723095">
        <w:t>24</w:t>
      </w:r>
      <w:r w:rsidRPr="00723095">
        <w:t>小時逐漸下降，</w:t>
      </w:r>
      <w:r w:rsidRPr="00723095">
        <w:t>24</w:t>
      </w:r>
      <w:r w:rsidRPr="00723095">
        <w:t>小時後極為罕見）。</w:t>
      </w:r>
    </w:p>
    <w:p w14:paraId="55C89BC3" w14:textId="77777777" w:rsidR="00723095" w:rsidRPr="00723095" w:rsidRDefault="00723095" w:rsidP="00723095">
      <w:pPr>
        <w:numPr>
          <w:ilvl w:val="0"/>
          <w:numId w:val="3"/>
        </w:numPr>
      </w:pPr>
      <w:r w:rsidRPr="00723095">
        <w:t>指引建議對於</w:t>
      </w:r>
      <w:r w:rsidRPr="00723095">
        <w:t xml:space="preserve"> ICH </w:t>
      </w:r>
      <w:r w:rsidRPr="00723095">
        <w:t>患者，在</w:t>
      </w:r>
      <w:r w:rsidRPr="00723095">
        <w:rPr>
          <w:b/>
          <w:bCs/>
        </w:rPr>
        <w:t>症狀發作後約</w:t>
      </w:r>
      <w:r w:rsidRPr="00723095">
        <w:rPr>
          <w:b/>
          <w:bCs/>
        </w:rPr>
        <w:t xml:space="preserve"> 24 </w:t>
      </w:r>
      <w:r w:rsidRPr="00723095">
        <w:rPr>
          <w:b/>
          <w:bCs/>
        </w:rPr>
        <w:t>小時應常規追蹤腦部</w:t>
      </w:r>
      <w:r w:rsidRPr="00723095">
        <w:rPr>
          <w:b/>
          <w:bCs/>
        </w:rPr>
        <w:t xml:space="preserve"> CT</w:t>
      </w:r>
      <w:r w:rsidRPr="00723095">
        <w:t>，這有助於明確評估並記錄最終的血腫擴大情況。若患者在</w:t>
      </w:r>
      <w:r w:rsidRPr="00723095">
        <w:t xml:space="preserve"> 24 </w:t>
      </w:r>
      <w:r w:rsidRPr="00723095">
        <w:t>小時內出現意識變差或格拉斯哥昏迷指數（</w:t>
      </w:r>
      <w:r w:rsidRPr="00723095">
        <w:t>GCS</w:t>
      </w:r>
      <w:r w:rsidRPr="00723095">
        <w:t>）下降等神經功能惡化，也應及時追蹤</w:t>
      </w:r>
      <w:r w:rsidRPr="00723095">
        <w:t xml:space="preserve"> CT </w:t>
      </w:r>
      <w:r w:rsidRPr="00723095">
        <w:t>以評估是否發生了血腫擴大、水腦症或腦疝脫。</w:t>
      </w:r>
    </w:p>
    <w:p w14:paraId="6C5430C0" w14:textId="77777777" w:rsidR="0015519E" w:rsidRPr="00723095" w:rsidRDefault="0015519E" w:rsidP="00723095"/>
    <w:sectPr w:rsidR="0015519E" w:rsidRPr="0072309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8E8"/>
    <w:multiLevelType w:val="multilevel"/>
    <w:tmpl w:val="CDD2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1713"/>
    <w:multiLevelType w:val="multilevel"/>
    <w:tmpl w:val="CD1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4487B"/>
    <w:multiLevelType w:val="multilevel"/>
    <w:tmpl w:val="CF9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E02A4"/>
    <w:multiLevelType w:val="multilevel"/>
    <w:tmpl w:val="DF7C3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148E5"/>
    <w:multiLevelType w:val="multilevel"/>
    <w:tmpl w:val="566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4D052E"/>
    <w:multiLevelType w:val="multilevel"/>
    <w:tmpl w:val="DA9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D2D75"/>
    <w:multiLevelType w:val="multilevel"/>
    <w:tmpl w:val="3ECA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36DC5"/>
    <w:multiLevelType w:val="multilevel"/>
    <w:tmpl w:val="DCE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88747A"/>
    <w:multiLevelType w:val="multilevel"/>
    <w:tmpl w:val="59F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24CA1"/>
    <w:multiLevelType w:val="multilevel"/>
    <w:tmpl w:val="EC90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111379">
    <w:abstractNumId w:val="0"/>
  </w:num>
  <w:num w:numId="2" w16cid:durableId="1890149868">
    <w:abstractNumId w:val="1"/>
  </w:num>
  <w:num w:numId="3" w16cid:durableId="1299185710">
    <w:abstractNumId w:val="6"/>
  </w:num>
  <w:num w:numId="4" w16cid:durableId="684357212">
    <w:abstractNumId w:val="4"/>
  </w:num>
  <w:num w:numId="5" w16cid:durableId="1443956651">
    <w:abstractNumId w:val="7"/>
  </w:num>
  <w:num w:numId="6" w16cid:durableId="1726836259">
    <w:abstractNumId w:val="5"/>
  </w:num>
  <w:num w:numId="7" w16cid:durableId="1999335799">
    <w:abstractNumId w:val="9"/>
  </w:num>
  <w:num w:numId="8" w16cid:durableId="1005405277">
    <w:abstractNumId w:val="3"/>
  </w:num>
  <w:num w:numId="9" w16cid:durableId="1555315683">
    <w:abstractNumId w:val="8"/>
  </w:num>
  <w:num w:numId="10" w16cid:durableId="933326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095"/>
    <w:rsid w:val="0015519E"/>
    <w:rsid w:val="0044305F"/>
    <w:rsid w:val="00723095"/>
    <w:rsid w:val="00966550"/>
    <w:rsid w:val="00AC30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59FC"/>
  <w15:chartTrackingRefBased/>
  <w15:docId w15:val="{20DB77FF-6A4C-4B10-B382-302547DD0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230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30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309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2309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230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2309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2309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2309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2309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2309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2309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2309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2309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23095"/>
    <w:rPr>
      <w:rFonts w:eastAsiaTheme="majorEastAsia" w:cstheme="majorBidi"/>
      <w:color w:val="0F4761" w:themeColor="accent1" w:themeShade="BF"/>
    </w:rPr>
  </w:style>
  <w:style w:type="character" w:customStyle="1" w:styleId="60">
    <w:name w:val="標題 6 字元"/>
    <w:basedOn w:val="a0"/>
    <w:link w:val="6"/>
    <w:uiPriority w:val="9"/>
    <w:semiHidden/>
    <w:rsid w:val="00723095"/>
    <w:rPr>
      <w:rFonts w:eastAsiaTheme="majorEastAsia" w:cstheme="majorBidi"/>
      <w:color w:val="595959" w:themeColor="text1" w:themeTint="A6"/>
    </w:rPr>
  </w:style>
  <w:style w:type="character" w:customStyle="1" w:styleId="70">
    <w:name w:val="標題 7 字元"/>
    <w:basedOn w:val="a0"/>
    <w:link w:val="7"/>
    <w:uiPriority w:val="9"/>
    <w:semiHidden/>
    <w:rsid w:val="00723095"/>
    <w:rPr>
      <w:rFonts w:eastAsiaTheme="majorEastAsia" w:cstheme="majorBidi"/>
      <w:color w:val="595959" w:themeColor="text1" w:themeTint="A6"/>
    </w:rPr>
  </w:style>
  <w:style w:type="character" w:customStyle="1" w:styleId="80">
    <w:name w:val="標題 8 字元"/>
    <w:basedOn w:val="a0"/>
    <w:link w:val="8"/>
    <w:uiPriority w:val="9"/>
    <w:semiHidden/>
    <w:rsid w:val="00723095"/>
    <w:rPr>
      <w:rFonts w:eastAsiaTheme="majorEastAsia" w:cstheme="majorBidi"/>
      <w:color w:val="272727" w:themeColor="text1" w:themeTint="D8"/>
    </w:rPr>
  </w:style>
  <w:style w:type="character" w:customStyle="1" w:styleId="90">
    <w:name w:val="標題 9 字元"/>
    <w:basedOn w:val="a0"/>
    <w:link w:val="9"/>
    <w:uiPriority w:val="9"/>
    <w:semiHidden/>
    <w:rsid w:val="00723095"/>
    <w:rPr>
      <w:rFonts w:eastAsiaTheme="majorEastAsia" w:cstheme="majorBidi"/>
      <w:color w:val="272727" w:themeColor="text1" w:themeTint="D8"/>
    </w:rPr>
  </w:style>
  <w:style w:type="paragraph" w:styleId="a3">
    <w:name w:val="Title"/>
    <w:basedOn w:val="a"/>
    <w:next w:val="a"/>
    <w:link w:val="a4"/>
    <w:uiPriority w:val="10"/>
    <w:qFormat/>
    <w:rsid w:val="007230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230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30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230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3095"/>
    <w:pPr>
      <w:spacing w:before="160"/>
      <w:jc w:val="center"/>
    </w:pPr>
    <w:rPr>
      <w:i/>
      <w:iCs/>
      <w:color w:val="404040" w:themeColor="text1" w:themeTint="BF"/>
    </w:rPr>
  </w:style>
  <w:style w:type="character" w:customStyle="1" w:styleId="a8">
    <w:name w:val="引文 字元"/>
    <w:basedOn w:val="a0"/>
    <w:link w:val="a7"/>
    <w:uiPriority w:val="29"/>
    <w:rsid w:val="00723095"/>
    <w:rPr>
      <w:i/>
      <w:iCs/>
      <w:color w:val="404040" w:themeColor="text1" w:themeTint="BF"/>
    </w:rPr>
  </w:style>
  <w:style w:type="paragraph" w:styleId="a9">
    <w:name w:val="List Paragraph"/>
    <w:basedOn w:val="a"/>
    <w:uiPriority w:val="34"/>
    <w:qFormat/>
    <w:rsid w:val="00723095"/>
    <w:pPr>
      <w:ind w:left="720"/>
      <w:contextualSpacing/>
    </w:pPr>
  </w:style>
  <w:style w:type="character" w:styleId="aa">
    <w:name w:val="Intense Emphasis"/>
    <w:basedOn w:val="a0"/>
    <w:uiPriority w:val="21"/>
    <w:qFormat/>
    <w:rsid w:val="00723095"/>
    <w:rPr>
      <w:i/>
      <w:iCs/>
      <w:color w:val="0F4761" w:themeColor="accent1" w:themeShade="BF"/>
    </w:rPr>
  </w:style>
  <w:style w:type="paragraph" w:styleId="ab">
    <w:name w:val="Intense Quote"/>
    <w:basedOn w:val="a"/>
    <w:next w:val="a"/>
    <w:link w:val="ac"/>
    <w:uiPriority w:val="30"/>
    <w:qFormat/>
    <w:rsid w:val="00723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23095"/>
    <w:rPr>
      <w:i/>
      <w:iCs/>
      <w:color w:val="0F4761" w:themeColor="accent1" w:themeShade="BF"/>
    </w:rPr>
  </w:style>
  <w:style w:type="character" w:styleId="ad">
    <w:name w:val="Intense Reference"/>
    <w:basedOn w:val="a0"/>
    <w:uiPriority w:val="32"/>
    <w:qFormat/>
    <w:rsid w:val="00723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1002</Words>
  <Characters>5712</Characters>
  <Application>Microsoft Office Word</Application>
  <DocSecurity>0</DocSecurity>
  <Lines>47</Lines>
  <Paragraphs>13</Paragraphs>
  <ScaleCrop>false</ScaleCrop>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ChanLin</dc:creator>
  <cp:keywords/>
  <dc:description/>
  <cp:lastModifiedBy>Chu ChanLin</cp:lastModifiedBy>
  <cp:revision>1</cp:revision>
  <dcterms:created xsi:type="dcterms:W3CDTF">2026-05-22T00:22:00Z</dcterms:created>
  <dcterms:modified xsi:type="dcterms:W3CDTF">2026-05-25T14:49:00Z</dcterms:modified>
</cp:coreProperties>
</file>