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CAB50" w14:textId="0E60BAF1" w:rsidR="00720F0D" w:rsidRDefault="00720F0D">
      <w:pPr>
        <w:rPr>
          <w:rFonts w:ascii="Lora" w:hAnsi="Lora"/>
          <w:color w:val="FAFAF9"/>
          <w:shd w:val="clear" w:color="auto" w:fill="1F1E1E"/>
        </w:rPr>
      </w:pPr>
      <w:r>
        <w:rPr>
          <w:rFonts w:ascii="Lora" w:hAnsi="Lora" w:hint="eastAsia"/>
          <w:color w:val="FAFAF9"/>
          <w:shd w:val="clear" w:color="auto" w:fill="1F1E1E"/>
        </w:rPr>
        <w:t>@</w:t>
      </w:r>
    </w:p>
    <w:p w14:paraId="66909025" w14:textId="11790976" w:rsidR="00BD7C72" w:rsidRPr="00BD7C72" w:rsidRDefault="00BD7C72">
      <w:pPr>
        <w:rPr>
          <w:rFonts w:ascii="Lora" w:hAnsi="Lora"/>
          <w:color w:val="FAFAF9"/>
          <w:shd w:val="clear" w:color="auto" w:fill="1F1E1E"/>
        </w:rPr>
      </w:pPr>
      <w:r w:rsidRPr="00BD7C72">
        <w:rPr>
          <w:rFonts w:ascii="Lora" w:hAnsi="Lora" w:hint="eastAsia"/>
          <w:color w:val="FAFAF9"/>
          <w:shd w:val="clear" w:color="auto" w:fill="1F1E1E"/>
        </w:rPr>
        <w:t>Ticagrelor in stroke</w:t>
      </w:r>
    </w:p>
    <w:p w14:paraId="08C24587" w14:textId="7F11BD1A" w:rsidR="000F0702" w:rsidRPr="00BD7C72" w:rsidRDefault="000F0702">
      <w:pPr>
        <w:rPr>
          <w:rFonts w:ascii="Lora" w:hAnsi="Lora"/>
          <w:color w:val="FAFAF9"/>
          <w:shd w:val="clear" w:color="auto" w:fill="1F1E1E"/>
        </w:rPr>
      </w:pPr>
      <w:r w:rsidRPr="00BD7C72">
        <w:rPr>
          <w:rFonts w:ascii="Lora" w:hAnsi="Lora" w:hint="eastAsia"/>
          <w:color w:val="FAFAF9"/>
          <w:shd w:val="clear" w:color="auto" w:fill="1F1E1E"/>
        </w:rPr>
        <w:t>T</w:t>
      </w:r>
      <w:r w:rsidRPr="00BD7C72">
        <w:rPr>
          <w:rFonts w:ascii="Lora" w:hAnsi="Lora"/>
          <w:color w:val="FAFAF9"/>
          <w:shd w:val="clear" w:color="auto" w:fill="1F1E1E"/>
        </w:rPr>
        <w:t xml:space="preserve">HALES trial randomized 11,016 patients with mild-to-moderate acute </w:t>
      </w:r>
      <w:proofErr w:type="spellStart"/>
      <w:r w:rsidRPr="00BD7C72">
        <w:rPr>
          <w:rFonts w:ascii="Lora" w:hAnsi="Lora"/>
          <w:color w:val="FAFAF9"/>
          <w:shd w:val="clear" w:color="auto" w:fill="1F1E1E"/>
        </w:rPr>
        <w:t>noncardioembolic</w:t>
      </w:r>
      <w:proofErr w:type="spellEnd"/>
      <w:r w:rsidRPr="00BD7C72">
        <w:rPr>
          <w:rFonts w:ascii="Lora" w:hAnsi="Lora"/>
          <w:color w:val="FAFAF9"/>
          <w:shd w:val="clear" w:color="auto" w:fill="1F1E1E"/>
        </w:rPr>
        <w:t xml:space="preserve"> ischemic stroke (NIHSS ≤5) or high-risk TIA</w:t>
      </w:r>
    </w:p>
    <w:p w14:paraId="65BFE58C" w14:textId="77777777" w:rsidR="000F0702" w:rsidRPr="00BD7C72" w:rsidRDefault="000F0702" w:rsidP="000F0702">
      <w:pPr>
        <w:pStyle w:val="Web"/>
        <w:pBdr>
          <w:top w:val="single" w:sz="2" w:space="0" w:color="3D3830"/>
          <w:left w:val="single" w:sz="2" w:space="0" w:color="3D3830"/>
          <w:bottom w:val="single" w:sz="2" w:space="0" w:color="3D3830"/>
          <w:right w:val="single" w:sz="2" w:space="0" w:color="3D3830"/>
        </w:pBdr>
        <w:shd w:val="clear" w:color="auto" w:fill="1F1E1E"/>
        <w:spacing w:before="0" w:beforeAutospacing="0" w:after="0" w:afterAutospacing="0"/>
        <w:rPr>
          <w:rFonts w:ascii="Lora" w:hAnsi="Lora"/>
          <w:color w:val="FAFAF9"/>
        </w:rPr>
      </w:pPr>
      <w:r w:rsidRPr="00BD7C72">
        <w:rPr>
          <w:rStyle w:val="ae"/>
          <w:rFonts w:ascii="Lora" w:hAnsi="Lora"/>
          <w:color w:val="FAFAF9"/>
          <w:bdr w:val="single" w:sz="2" w:space="0" w:color="3D3830" w:frame="1"/>
        </w:rPr>
        <w:t>Primary efficacy outcome</w:t>
      </w:r>
      <w:r w:rsidRPr="00BD7C72">
        <w:rPr>
          <w:rFonts w:ascii="Lora" w:hAnsi="Lora"/>
          <w:color w:val="FAFAF9"/>
        </w:rPr>
        <w:t> (stroke or death at 30 days): 5.5% with ticagrelor-aspirin vs 6.6% with aspirin alone (HR 0.83, 95% CI 0.71-0.96, p=0.02). This represents an absolute risk reduction of 1.1%, with a number needed to treat of 92. </w:t>
      </w:r>
      <w:r w:rsidRPr="00BD7C72">
        <w:rPr>
          <w:rStyle w:val="muibox-root"/>
          <w:rFonts w:ascii="Lora" w:hAnsi="Lora"/>
          <w:color w:val="FAFAF9"/>
          <w:bdr w:val="single" w:sz="2" w:space="0" w:color="3D3830" w:frame="1"/>
        </w:rPr>
        <w:t>[1]</w:t>
      </w:r>
    </w:p>
    <w:p w14:paraId="0DD61417" w14:textId="77777777" w:rsidR="000F0702" w:rsidRPr="00BD7C72" w:rsidRDefault="000F0702" w:rsidP="000F0702">
      <w:pPr>
        <w:pStyle w:val="Web"/>
        <w:pBdr>
          <w:top w:val="single" w:sz="2" w:space="0" w:color="3D3830"/>
          <w:left w:val="single" w:sz="2" w:space="0" w:color="3D3830"/>
          <w:bottom w:val="single" w:sz="2" w:space="0" w:color="3D3830"/>
          <w:right w:val="single" w:sz="2" w:space="0" w:color="3D3830"/>
        </w:pBdr>
        <w:shd w:val="clear" w:color="auto" w:fill="1F1E1E"/>
        <w:spacing w:before="0" w:beforeAutospacing="0" w:after="0" w:afterAutospacing="0"/>
        <w:rPr>
          <w:rFonts w:ascii="Lora" w:hAnsi="Lora"/>
          <w:color w:val="FAFAF9"/>
        </w:rPr>
      </w:pPr>
      <w:r w:rsidRPr="00BD7C72">
        <w:rPr>
          <w:rStyle w:val="ae"/>
          <w:rFonts w:ascii="Lora" w:hAnsi="Lora"/>
          <w:color w:val="FAFAF9"/>
          <w:bdr w:val="single" w:sz="2" w:space="0" w:color="3D3830" w:frame="1"/>
        </w:rPr>
        <w:t>Ischemic stroke</w:t>
      </w:r>
      <w:r w:rsidRPr="00BD7C72">
        <w:rPr>
          <w:rFonts w:ascii="Lora" w:hAnsi="Lora"/>
          <w:color w:val="FAFAF9"/>
        </w:rPr>
        <w:t>: 5.0% with ticagrelor-aspirin vs 6.3% with aspirin alone (HR 0.79, 95% CI 0.68-0.93, p=0.004). </w:t>
      </w:r>
      <w:r w:rsidRPr="00BD7C72">
        <w:rPr>
          <w:rStyle w:val="muibox-root"/>
          <w:rFonts w:ascii="Lora" w:hAnsi="Lora"/>
          <w:color w:val="FAFAF9"/>
          <w:bdr w:val="single" w:sz="2" w:space="0" w:color="3D3830" w:frame="1"/>
        </w:rPr>
        <w:t>[1]</w:t>
      </w:r>
    </w:p>
    <w:p w14:paraId="20783EBA" w14:textId="71EB9BA2" w:rsidR="000F0702" w:rsidRPr="00BD7C72" w:rsidRDefault="000F0702" w:rsidP="000F0702">
      <w:pPr>
        <w:pStyle w:val="Web"/>
        <w:pBdr>
          <w:top w:val="single" w:sz="2" w:space="0" w:color="3D3830"/>
          <w:left w:val="single" w:sz="2" w:space="0" w:color="3D3830"/>
          <w:bottom w:val="single" w:sz="2" w:space="0" w:color="3D3830"/>
          <w:right w:val="single" w:sz="2" w:space="0" w:color="3D3830"/>
        </w:pBdr>
        <w:shd w:val="clear" w:color="auto" w:fill="1F1E1E"/>
        <w:spacing w:before="0" w:beforeAutospacing="0" w:after="0" w:afterAutospacing="0"/>
        <w:rPr>
          <w:rFonts w:ascii="Lora" w:hAnsi="Lora"/>
          <w:color w:val="FAFAF9"/>
        </w:rPr>
      </w:pPr>
      <w:r w:rsidRPr="00BD7C72">
        <w:rPr>
          <w:rStyle w:val="ae"/>
          <w:rFonts w:ascii="Lora" w:hAnsi="Lora"/>
          <w:color w:val="FAFAF9"/>
          <w:bdr w:val="single" w:sz="2" w:space="0" w:color="3D3830" w:frame="1"/>
        </w:rPr>
        <w:t>Major hemorrhage</w:t>
      </w:r>
      <w:r w:rsidRPr="00BD7C72">
        <w:rPr>
          <w:rFonts w:ascii="Lora" w:hAnsi="Lora"/>
          <w:color w:val="FAFAF9"/>
        </w:rPr>
        <w:t>: Major ischemic events (ischemic stroke or nonhemorrhagic death) occurred in 5.3% with ticagrelor-aspirin vs 6.5% with aspirin alone (absolute risk reduction 1.19%). However, major hemorrhage (intracranial hemorrhage or hemorrhagic death) occurred in 0.4% with ticagrelor-aspirin vs 0.1% with aspirin alone (absolute risk increase 0.29%). </w:t>
      </w:r>
      <w:r w:rsidRPr="00BD7C72">
        <w:rPr>
          <w:rStyle w:val="muibox-root"/>
          <w:rFonts w:ascii="Lora" w:hAnsi="Lora"/>
          <w:color w:val="FAFAF9"/>
          <w:bdr w:val="single" w:sz="2" w:space="0" w:color="3D3830" w:frame="1"/>
        </w:rPr>
        <w:t>[2]</w:t>
      </w:r>
      <w:r w:rsidRPr="00BD7C72">
        <w:rPr>
          <w:rFonts w:ascii="Lora" w:hAnsi="Lora"/>
          <w:color w:val="FAFAF9"/>
        </w:rPr>
        <w:t> Severe bleeding overall occurred in 0.5% vs 0.1% (p=0.001), with a number needed to harm of 263.</w:t>
      </w:r>
    </w:p>
    <w:p w14:paraId="567BAD9A" w14:textId="7A0E1180" w:rsidR="003B5F7B" w:rsidRPr="00BD7C72" w:rsidRDefault="000F0702">
      <w:pPr>
        <w:rPr>
          <w:rFonts w:ascii="Lora" w:hAnsi="Lora"/>
          <w:color w:val="FAFAF9"/>
          <w:shd w:val="clear" w:color="auto" w:fill="1F1E1E"/>
        </w:rPr>
      </w:pPr>
      <w:r w:rsidRPr="00BD7C72">
        <w:rPr>
          <w:rFonts w:ascii="Lora" w:hAnsi="Lora"/>
          <w:color w:val="FAFAF9"/>
          <w:shd w:val="clear" w:color="auto" w:fill="1F1E1E"/>
        </w:rPr>
        <w:t>The treatment effect of ticagrelor-aspirin accrued primarily over the first 10 days,</w:t>
      </w:r>
    </w:p>
    <w:p w14:paraId="7846DA3A" w14:textId="067A9636" w:rsidR="000F0702" w:rsidRDefault="000F0702">
      <w:pPr>
        <w:rPr>
          <w:rFonts w:ascii="Lora" w:hAnsi="Lora"/>
          <w:color w:val="FAFAF9"/>
          <w:shd w:val="clear" w:color="auto" w:fill="1F1E1E"/>
        </w:rPr>
      </w:pPr>
      <w:r w:rsidRPr="00BD7C72">
        <w:rPr>
          <w:rFonts w:ascii="Lora" w:hAnsi="Lora"/>
          <w:color w:val="FAFAF9"/>
          <w:shd w:val="clear" w:color="auto" w:fill="1F1E1E"/>
        </w:rPr>
        <w:t>A network meta-analysis found</w:t>
      </w:r>
      <w:r w:rsidRPr="00BD7C72">
        <w:rPr>
          <w:rFonts w:ascii="Lora" w:hAnsi="Lora" w:hint="eastAsia"/>
          <w:color w:val="FAFAF9"/>
          <w:shd w:val="clear" w:color="auto" w:fill="1F1E1E"/>
        </w:rPr>
        <w:t xml:space="preserve"> </w:t>
      </w:r>
      <w:r w:rsidRPr="00BD7C72">
        <w:rPr>
          <w:rFonts w:ascii="Lora" w:hAnsi="Lora"/>
          <w:color w:val="FAFAF9"/>
          <w:shd w:val="clear" w:color="auto" w:fill="1F1E1E"/>
        </w:rPr>
        <w:t>Clopidogrel-aspirin ranked highest in SUCRA analysis and was associated with lower risk of functional disability compared to both aspirin alone and ticagrelor-aspirin</w:t>
      </w:r>
    </w:p>
    <w:p w14:paraId="094AC90F" w14:textId="0772DC60" w:rsidR="00720F0D" w:rsidRDefault="00720F0D">
      <w:pPr>
        <w:rPr>
          <w:rFonts w:ascii="Lora" w:hAnsi="Lora"/>
          <w:color w:val="FAFAF9"/>
          <w:shd w:val="clear" w:color="auto" w:fill="1F1E1E"/>
        </w:rPr>
      </w:pPr>
      <w:r>
        <w:rPr>
          <w:rFonts w:ascii="Lora" w:hAnsi="Lora" w:hint="eastAsia"/>
          <w:color w:val="FAFAF9"/>
          <w:shd w:val="clear" w:color="auto" w:fill="1F1E1E"/>
        </w:rPr>
        <w:t>@</w:t>
      </w:r>
    </w:p>
    <w:p w14:paraId="6326493F" w14:textId="77777777" w:rsidR="0051635D" w:rsidRDefault="00720F0D" w:rsidP="0051635D">
      <w:pPr>
        <w:rPr>
          <w:rStyle w:val="ae"/>
          <w:rFonts w:ascii="Lora" w:hAnsi="Lora"/>
          <w:color w:val="FAFAF9"/>
          <w:bdr w:val="single" w:sz="2" w:space="0" w:color="3D3830" w:frame="1"/>
          <w:shd w:val="clear" w:color="auto" w:fill="1F1E1E"/>
        </w:rPr>
      </w:pPr>
      <w:r>
        <w:rPr>
          <w:rFonts w:ascii="Lora" w:hAnsi="Lora"/>
          <w:color w:val="FAFAF9"/>
          <w:shd w:val="clear" w:color="auto" w:fill="1F1E1E"/>
        </w:rPr>
        <w:t>Recent evidence from the PREMANDYSK trial demonstrates that </w:t>
      </w:r>
      <w:r>
        <w:rPr>
          <w:rStyle w:val="ae"/>
          <w:rFonts w:ascii="Lora" w:hAnsi="Lora"/>
          <w:color w:val="FAFAF9"/>
          <w:bdr w:val="single" w:sz="2" w:space="0" w:color="3D3830" w:frame="1"/>
          <w:shd w:val="clear" w:color="auto" w:fill="1F1E1E"/>
        </w:rPr>
        <w:t>early addition of amantadine-IR (200 mg/day) to levodopa therapy in early PD halved dyskinesia incidence</w:t>
      </w:r>
      <w:r>
        <w:rPr>
          <w:rFonts w:ascii="Lora" w:hAnsi="Lora"/>
          <w:color w:val="FAFAF9"/>
          <w:shd w:val="clear" w:color="auto" w:fill="1F1E1E"/>
        </w:rPr>
        <w:t> over 18 months (11% vs 22%, P = 0.025) and reduced levodopa dose escalation by 70 mg (P = 0.005).</w:t>
      </w:r>
      <w:r>
        <w:rPr>
          <w:rFonts w:ascii="Lora" w:hAnsi="Lora" w:hint="eastAsia"/>
          <w:color w:val="FAFAF9"/>
          <w:shd w:val="clear" w:color="auto" w:fill="1F1E1E"/>
        </w:rPr>
        <w:t xml:space="preserve"> </w:t>
      </w:r>
      <w:r>
        <w:rPr>
          <w:rFonts w:ascii="Lora" w:hAnsi="Lora"/>
          <w:color w:val="FAFAF9"/>
          <w:shd w:val="clear" w:color="auto" w:fill="1F1E1E"/>
        </w:rPr>
        <w:t>Common side effects include hallucinations (15-24%), peripheral edema (24%), dizziness (22%), and dry mouth.</w:t>
      </w:r>
    </w:p>
    <w:p w14:paraId="5AD24150" w14:textId="51A6DBBC" w:rsidR="00720F0D" w:rsidRDefault="00720F0D" w:rsidP="0051635D">
      <w:pPr>
        <w:rPr>
          <w:rFonts w:ascii="Lora" w:hAnsi="Lora"/>
          <w:color w:val="FAFAF9"/>
          <w:shd w:val="clear" w:color="auto" w:fill="1F1E1E"/>
        </w:rPr>
      </w:pPr>
      <w:r>
        <w:rPr>
          <w:rFonts w:ascii="Lora" w:hAnsi="Lora"/>
          <w:color w:val="FAFAF9"/>
          <w:shd w:val="clear" w:color="auto" w:fill="1F1E1E"/>
        </w:rPr>
        <w:t>A 3-year head-to-head retrospective study comparing selegiline and rasagiline found that </w:t>
      </w:r>
      <w:r>
        <w:rPr>
          <w:rStyle w:val="ae"/>
          <w:rFonts w:ascii="Lora" w:hAnsi="Lora"/>
          <w:color w:val="FAFAF9"/>
          <w:bdr w:val="single" w:sz="2" w:space="0" w:color="3D3830" w:frame="1"/>
          <w:shd w:val="clear" w:color="auto" w:fill="1F1E1E"/>
        </w:rPr>
        <w:t>both MAO-B inhibitors were associated with approximately 2-fold lower increases in daily levodopa dose</w:t>
      </w:r>
      <w:r>
        <w:rPr>
          <w:rFonts w:ascii="Lora" w:hAnsi="Lora"/>
          <w:color w:val="FAFAF9"/>
          <w:shd w:val="clear" w:color="auto" w:fill="1F1E1E"/>
        </w:rPr>
        <w:t xml:space="preserve"> (p &lt; 0.001) </w:t>
      </w:r>
      <w:r>
        <w:rPr>
          <w:rFonts w:ascii="Lora" w:hAnsi="Lora"/>
          <w:color w:val="FAFAF9"/>
          <w:shd w:val="clear" w:color="auto" w:fill="1F1E1E"/>
        </w:rPr>
        <w:lastRenderedPageBreak/>
        <w:t>and </w:t>
      </w:r>
      <w:r>
        <w:rPr>
          <w:rStyle w:val="ae"/>
          <w:rFonts w:ascii="Lora" w:hAnsi="Lora"/>
          <w:color w:val="FAFAF9"/>
          <w:bdr w:val="single" w:sz="2" w:space="0" w:color="3D3830" w:frame="1"/>
          <w:shd w:val="clear" w:color="auto" w:fill="1F1E1E"/>
        </w:rPr>
        <w:t>lower dyskinesia scores</w:t>
      </w:r>
      <w:r>
        <w:rPr>
          <w:rFonts w:ascii="Lora" w:hAnsi="Lora"/>
          <w:color w:val="FAFAF9"/>
          <w:shd w:val="clear" w:color="auto" w:fill="1F1E1E"/>
        </w:rPr>
        <w:t> (p = 0.028) </w:t>
      </w:r>
    </w:p>
    <w:p w14:paraId="3F468021" w14:textId="3F52C27C" w:rsidR="0051635D" w:rsidRPr="0051635D" w:rsidRDefault="0051635D" w:rsidP="0051635D">
      <w:pPr>
        <w:rPr>
          <w:rFonts w:ascii="Lora" w:hAnsi="Lora" w:hint="eastAsia"/>
          <w:color w:val="FAFAF9"/>
          <w:shd w:val="clear" w:color="auto" w:fill="1F1E1E"/>
        </w:rPr>
      </w:pPr>
      <w:r>
        <w:rPr>
          <w:rFonts w:ascii="Lora" w:hAnsi="Lora"/>
          <w:color w:val="FAFAF9"/>
          <w:shd w:val="clear" w:color="auto" w:fill="1F1E1E"/>
        </w:rPr>
        <w:t>Recent indirect comparison data suggest safinamide may reduce OFF time by an additional 0.7 hours compared to rasagiline when added to levodopa</w:t>
      </w:r>
    </w:p>
    <w:sectPr w:rsidR="0051635D" w:rsidRPr="0051635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702"/>
    <w:rsid w:val="000535E4"/>
    <w:rsid w:val="000F0702"/>
    <w:rsid w:val="003B5F7B"/>
    <w:rsid w:val="0051635D"/>
    <w:rsid w:val="005D171B"/>
    <w:rsid w:val="00720F0D"/>
    <w:rsid w:val="00805F19"/>
    <w:rsid w:val="00BD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FE3AA7"/>
  <w15:chartTrackingRefBased/>
  <w15:docId w15:val="{A4F52191-E386-8341-AA5C-562C2FA2E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07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0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070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070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0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070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070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070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070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F07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F0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F070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F0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F070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F070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F070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F070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F07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07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F0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07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F07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0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F07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07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07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0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F07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070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0F070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0F0702"/>
    <w:rPr>
      <w:b/>
      <w:bCs/>
    </w:rPr>
  </w:style>
  <w:style w:type="character" w:customStyle="1" w:styleId="muibox-root">
    <w:name w:val="muibox-root"/>
    <w:basedOn w:val="a0"/>
    <w:rsid w:val="000F07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ChanLin</dc:creator>
  <cp:keywords/>
  <dc:description/>
  <cp:lastModifiedBy>Chu ChanLin</cp:lastModifiedBy>
  <cp:revision>2</cp:revision>
  <dcterms:created xsi:type="dcterms:W3CDTF">2026-05-20T14:25:00Z</dcterms:created>
  <dcterms:modified xsi:type="dcterms:W3CDTF">2026-05-20T15:07:00Z</dcterms:modified>
</cp:coreProperties>
</file>