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86E54" w14:textId="1106A169" w:rsidR="009715DB" w:rsidRDefault="007125B3">
      <w:r>
        <w:rPr>
          <w:rFonts w:hint="eastAsia"/>
        </w:rPr>
        <w:t>@</w:t>
      </w:r>
      <w:r w:rsidR="00E80EC4">
        <w:rPr>
          <w:rFonts w:hint="eastAsia"/>
        </w:rPr>
        <w:t>1</w:t>
      </w:r>
    </w:p>
    <w:p w14:paraId="35F4696D" w14:textId="4B157D57" w:rsidR="007125B3" w:rsidRPr="007125B3" w:rsidRDefault="007125B3" w:rsidP="007125B3">
      <w:pPr>
        <w:rPr>
          <w:rFonts w:hint="eastAsia"/>
        </w:rPr>
      </w:pPr>
      <w:r w:rsidRPr="007125B3">
        <w:t>The </w:t>
      </w:r>
      <w:r w:rsidRPr="007125B3">
        <w:rPr>
          <w:b/>
          <w:bCs/>
        </w:rPr>
        <w:t>Strata programmable valve</w:t>
      </w:r>
      <w:r w:rsidRPr="007125B3">
        <w:t> is an adjustable cerebrospinal fluid shunt system with </w:t>
      </w:r>
      <w:r w:rsidRPr="007125B3">
        <w:rPr>
          <w:b/>
          <w:bCs/>
        </w:rPr>
        <w:t>five performance level settings</w:t>
      </w:r>
      <w:r w:rsidRPr="007125B3">
        <w:t> that can be adjusted noninvasively using an external magnet. The valve includes an </w:t>
      </w:r>
      <w:r w:rsidRPr="007125B3">
        <w:rPr>
          <w:b/>
          <w:bCs/>
        </w:rPr>
        <w:t>anti-siphon device</w:t>
      </w:r>
      <w:r w:rsidRPr="007125B3">
        <w:t> and can be verified using a hand tool or radiography.</w:t>
      </w:r>
    </w:p>
    <w:p w14:paraId="3F2C125E" w14:textId="77777777" w:rsidR="007125B3" w:rsidRPr="007125B3" w:rsidRDefault="007125B3" w:rsidP="007125B3">
      <w:r w:rsidRPr="007125B3">
        <w:rPr>
          <w:b/>
          <w:bCs/>
        </w:rPr>
        <w:t>Technical Specifications</w:t>
      </w:r>
    </w:p>
    <w:p w14:paraId="18C96695" w14:textId="77777777" w:rsidR="007125B3" w:rsidRPr="007125B3" w:rsidRDefault="007125B3" w:rsidP="007125B3">
      <w:r w:rsidRPr="007125B3">
        <w:t>The Strata valve has the following opening pressure settings across its five performance levels: [1]</w:t>
      </w:r>
    </w:p>
    <w:p w14:paraId="01713215" w14:textId="77777777" w:rsidR="007125B3" w:rsidRPr="007125B3" w:rsidRDefault="007125B3" w:rsidP="007125B3">
      <w:pPr>
        <w:numPr>
          <w:ilvl w:val="0"/>
          <w:numId w:val="2"/>
        </w:numPr>
      </w:pPr>
      <w:r w:rsidRPr="007125B3">
        <w:t>Performance Level 0.5: 3.3 mmHg</w:t>
      </w:r>
    </w:p>
    <w:p w14:paraId="6E9AFBD6" w14:textId="77777777" w:rsidR="007125B3" w:rsidRPr="007125B3" w:rsidRDefault="007125B3" w:rsidP="007125B3">
      <w:pPr>
        <w:numPr>
          <w:ilvl w:val="0"/>
          <w:numId w:val="2"/>
        </w:numPr>
      </w:pPr>
      <w:r w:rsidRPr="007125B3">
        <w:t>Performance Level 1.0: 5.1 mmHg</w:t>
      </w:r>
    </w:p>
    <w:p w14:paraId="4ABC2107" w14:textId="77777777" w:rsidR="007125B3" w:rsidRPr="007125B3" w:rsidRDefault="007125B3" w:rsidP="007125B3">
      <w:pPr>
        <w:numPr>
          <w:ilvl w:val="0"/>
          <w:numId w:val="2"/>
        </w:numPr>
      </w:pPr>
      <w:r w:rsidRPr="007125B3">
        <w:t>Performance Level 1.5: 7.7 mmHg</w:t>
      </w:r>
    </w:p>
    <w:p w14:paraId="2E4BD84B" w14:textId="77777777" w:rsidR="007125B3" w:rsidRPr="007125B3" w:rsidRDefault="007125B3" w:rsidP="007125B3">
      <w:pPr>
        <w:numPr>
          <w:ilvl w:val="0"/>
          <w:numId w:val="2"/>
        </w:numPr>
      </w:pPr>
      <w:r w:rsidRPr="007125B3">
        <w:t>Performance Level 2.0: 10.7 mmHg</w:t>
      </w:r>
    </w:p>
    <w:p w14:paraId="2EB58B6A" w14:textId="77777777" w:rsidR="007125B3" w:rsidRPr="007125B3" w:rsidRDefault="007125B3" w:rsidP="007125B3">
      <w:pPr>
        <w:numPr>
          <w:ilvl w:val="0"/>
          <w:numId w:val="2"/>
        </w:numPr>
      </w:pPr>
      <w:r w:rsidRPr="007125B3">
        <w:t>Performance Level 2.5: 13.1 mmHg</w:t>
      </w:r>
    </w:p>
    <w:p w14:paraId="0B3D581F" w14:textId="1DB9F118" w:rsidR="007125B3" w:rsidRDefault="007125B3" w:rsidP="00817654">
      <w:r w:rsidRPr="007125B3">
        <w:t>The mean resistance is </w:t>
      </w:r>
      <w:r w:rsidRPr="007125B3">
        <w:rPr>
          <w:b/>
          <w:bCs/>
        </w:rPr>
        <w:t>2.2 ± 1.0 mmHg/ml/min</w:t>
      </w:r>
      <w:r w:rsidRPr="007125B3">
        <w:t>, with the anti-siphoning device functioning reliably across all valves tested</w:t>
      </w:r>
      <w:r w:rsidR="00817654">
        <w:rPr>
          <w:rFonts w:hint="eastAsia"/>
        </w:rPr>
        <w:t>.</w:t>
      </w:r>
      <w:r w:rsidR="00817654">
        <w:br/>
      </w:r>
      <w:r w:rsidR="00817654">
        <w:br/>
      </w:r>
      <w:r w:rsidR="00817654" w:rsidRPr="00817654">
        <w:t>Recent population-based data shows adjustable valves (including Strata) have </w:t>
      </w:r>
      <w:r w:rsidR="00817654" w:rsidRPr="00817654">
        <w:rPr>
          <w:b/>
          <w:bCs/>
        </w:rPr>
        <w:t>lower overall revision rates</w:t>
      </w:r>
      <w:r w:rsidR="00817654" w:rsidRPr="00817654">
        <w:t> compared to fixed-pressure valves (14% vs 30%, p&lt;0.001). [4] A meta-analysis found programmable valves reduced revision surgery rates (12% vs 32%) and subdural collections (9% vs 22%) compared to fixed valves.</w:t>
      </w:r>
    </w:p>
    <w:p w14:paraId="245A018F" w14:textId="483044FD" w:rsidR="00E80EC4" w:rsidRDefault="00E80EC4" w:rsidP="00817654">
      <w:r>
        <w:rPr>
          <w:rFonts w:hint="eastAsia"/>
        </w:rPr>
        <w:t>@1</w:t>
      </w:r>
    </w:p>
    <w:p w14:paraId="1160D587" w14:textId="77777777" w:rsidR="00E80EC4" w:rsidRDefault="00E80EC4" w:rsidP="00817654">
      <w:pPr>
        <w:rPr>
          <w:rFonts w:hint="eastAsia"/>
        </w:rPr>
      </w:pPr>
    </w:p>
    <w:p w14:paraId="466400E2" w14:textId="0F605D4C" w:rsidR="00817654" w:rsidRDefault="00817654" w:rsidP="00817654">
      <w:r>
        <w:rPr>
          <w:rFonts w:hint="eastAsia"/>
        </w:rPr>
        <w:t>@</w:t>
      </w:r>
      <w:r w:rsidR="00E80EC4">
        <w:rPr>
          <w:rFonts w:hint="eastAsia"/>
        </w:rPr>
        <w:t>2</w:t>
      </w:r>
    </w:p>
    <w:p w14:paraId="58889DA0" w14:textId="77777777" w:rsidR="006A2914" w:rsidRDefault="006A2914" w:rsidP="006A2914">
      <w:r w:rsidRPr="006A2914">
        <w:rPr>
          <w:b/>
          <w:bCs/>
        </w:rPr>
        <w:t>World Federation of Neurological Surgeons grading scale</w:t>
      </w:r>
    </w:p>
    <w:p w14:paraId="75594D43" w14:textId="706CE8C5" w:rsidR="006A2914" w:rsidRPr="006A2914" w:rsidRDefault="006A2914" w:rsidP="006A2914">
      <w:r w:rsidRPr="006A2914">
        <w:t>It is based on the GCS score and the presence of motor deficits.</w:t>
      </w:r>
    </w:p>
    <w:p w14:paraId="7DF60C88" w14:textId="77777777" w:rsidR="006A2914" w:rsidRPr="006A2914" w:rsidRDefault="006A2914" w:rsidP="006A2914">
      <w:r w:rsidRPr="006A2914">
        <w:t>●Grade 1: GCS score 15, no motor deficit</w:t>
      </w:r>
    </w:p>
    <w:p w14:paraId="634BADB9" w14:textId="77777777" w:rsidR="006A2914" w:rsidRPr="006A2914" w:rsidRDefault="006A2914" w:rsidP="006A2914">
      <w:r w:rsidRPr="006A2914">
        <w:lastRenderedPageBreak/>
        <w:t>●Grade 2: GCS score 13 to 14, no motor deficit</w:t>
      </w:r>
    </w:p>
    <w:p w14:paraId="695476D5" w14:textId="77777777" w:rsidR="006A2914" w:rsidRPr="006A2914" w:rsidRDefault="006A2914" w:rsidP="006A2914">
      <w:r w:rsidRPr="006A2914">
        <w:t>●Grade 3: GCS score 13 to 14, with motor deficit</w:t>
      </w:r>
    </w:p>
    <w:p w14:paraId="685FC768" w14:textId="77777777" w:rsidR="006A2914" w:rsidRPr="006A2914" w:rsidRDefault="006A2914" w:rsidP="006A2914">
      <w:r w:rsidRPr="006A2914">
        <w:t>●Grade 4: GCS score 7 to 12, with or without motor deficit</w:t>
      </w:r>
    </w:p>
    <w:p w14:paraId="3D71CE8D" w14:textId="77777777" w:rsidR="006A2914" w:rsidRDefault="006A2914" w:rsidP="006A2914">
      <w:r w:rsidRPr="006A2914">
        <w:t>●Grade 5: GCS score 3 to 6, with or without motor deficit</w:t>
      </w:r>
    </w:p>
    <w:p w14:paraId="16178841" w14:textId="1DB0F93C" w:rsidR="006A2914" w:rsidRDefault="006A2914" w:rsidP="006A2914">
      <w:pPr>
        <w:rPr>
          <w:rFonts w:hint="eastAsia"/>
        </w:rPr>
      </w:pPr>
      <w:r w:rsidRPr="006A2914">
        <w:t>A systematic review of SAH grading scales found conflicting data regarding the prognostic power of the WFNS grades [</w:t>
      </w:r>
      <w:hyperlink r:id="rId5" w:history="1">
        <w:r w:rsidRPr="006A2914">
          <w:rPr>
            <w:rStyle w:val="ae"/>
          </w:rPr>
          <w:t>4</w:t>
        </w:r>
      </w:hyperlink>
      <w:r w:rsidRPr="006A2914">
        <w:t>]; two studies showed a stepwise increase in the likelihood of poor outcome with increasing WFNS grade, while others did not find consistent significant differences in outcome between adjacent WFNS grades</w:t>
      </w:r>
      <w:r>
        <w:rPr>
          <w:rFonts w:hint="eastAsia"/>
        </w:rPr>
        <w:t>.</w:t>
      </w:r>
    </w:p>
    <w:p w14:paraId="6C17D9CB" w14:textId="77777777" w:rsidR="006A2914" w:rsidRDefault="006A2914" w:rsidP="006A2914">
      <w:pPr>
        <w:rPr>
          <w:rFonts w:hint="eastAsia"/>
        </w:rPr>
      </w:pPr>
    </w:p>
    <w:p w14:paraId="4DD20CCA" w14:textId="0521D4E3" w:rsidR="006A2914" w:rsidRPr="006A2914" w:rsidRDefault="006A2914" w:rsidP="006A2914">
      <w:r w:rsidRPr="006A2914">
        <w:rPr>
          <w:b/>
          <w:bCs/>
        </w:rPr>
        <w:t>Hunt and Hess grading system</w:t>
      </w:r>
      <w:r w:rsidRPr="006A2914">
        <w:t> — The scale was intended as an index of surgical risk. The initial clinical grade correlates with the severity of hemorrhage.</w:t>
      </w:r>
    </w:p>
    <w:p w14:paraId="0E416EA3" w14:textId="77777777" w:rsidR="006A2914" w:rsidRPr="006A2914" w:rsidRDefault="006A2914" w:rsidP="006A2914">
      <w:r w:rsidRPr="006A2914">
        <w:t>●Grade 1: Asymptomatic or mild headache and slight nuchal rigidity</w:t>
      </w:r>
    </w:p>
    <w:p w14:paraId="7F3E211A" w14:textId="77777777" w:rsidR="006A2914" w:rsidRPr="006A2914" w:rsidRDefault="006A2914" w:rsidP="006A2914">
      <w:r w:rsidRPr="006A2914">
        <w:t>●Grade 2: Moderate to severe headache, stiff neck, no neurologic deficit except cranial nerve palsy</w:t>
      </w:r>
    </w:p>
    <w:p w14:paraId="0D88E400" w14:textId="77777777" w:rsidR="006A2914" w:rsidRPr="006A2914" w:rsidRDefault="006A2914" w:rsidP="006A2914">
      <w:r w:rsidRPr="006A2914">
        <w:t>●Grade 3: Drowsy or confused, mild focal neurologic deficit</w:t>
      </w:r>
    </w:p>
    <w:p w14:paraId="579F89B9" w14:textId="77777777" w:rsidR="006A2914" w:rsidRPr="006A2914" w:rsidRDefault="006A2914" w:rsidP="006A2914">
      <w:r w:rsidRPr="006A2914">
        <w:t>●Grade 4: Stupor, moderate or severe hemiparesis</w:t>
      </w:r>
    </w:p>
    <w:p w14:paraId="1E73611D" w14:textId="77777777" w:rsidR="006A2914" w:rsidRPr="006A2914" w:rsidRDefault="006A2914" w:rsidP="006A2914">
      <w:r w:rsidRPr="006A2914">
        <w:t>●Grade 5: Deep coma, decerebrate posturing</w:t>
      </w:r>
    </w:p>
    <w:p w14:paraId="4AD63279" w14:textId="77777777" w:rsidR="006A2914" w:rsidRPr="006A2914" w:rsidRDefault="006A2914" w:rsidP="006A2914">
      <w:pPr>
        <w:rPr>
          <w:rFonts w:hint="eastAsia"/>
        </w:rPr>
      </w:pPr>
    </w:p>
    <w:p w14:paraId="0EC8A8DF" w14:textId="33BCB866" w:rsidR="006A2914" w:rsidRDefault="006A2914" w:rsidP="006A2914">
      <w:r w:rsidRPr="006A2914">
        <w:t>A study of 230 patients with SAH found a significant difference in outcome for compressed but not adjacent Hunt and Hess grades; patients with grades 1 to 3 had better outcomes compared with those with grades 4 and 5</w:t>
      </w:r>
      <w:r>
        <w:rPr>
          <w:rFonts w:hint="eastAsia"/>
        </w:rPr>
        <w:t xml:space="preserve">. </w:t>
      </w:r>
    </w:p>
    <w:p w14:paraId="5BB19DC9" w14:textId="3709ED47" w:rsidR="006A2914" w:rsidRPr="006A2914" w:rsidRDefault="006A2914" w:rsidP="006A2914">
      <w:pPr>
        <w:rPr>
          <w:rFonts w:hint="eastAsia"/>
        </w:rPr>
      </w:pPr>
      <w:r w:rsidRPr="006A2914">
        <w:t>A systematic review of SAH grading scales found conflicting data regarding the utility of the Hunt and Hess scale for prognosis</w:t>
      </w:r>
    </w:p>
    <w:p w14:paraId="7918FD0C" w14:textId="77777777" w:rsidR="006A2914" w:rsidRPr="006A2914" w:rsidRDefault="006A2914" w:rsidP="00817654"/>
    <w:p w14:paraId="1446996C" w14:textId="6BF40E00" w:rsidR="006A2914" w:rsidRPr="006A2914" w:rsidRDefault="006A2914" w:rsidP="006A2914">
      <w:r w:rsidRPr="006A2914">
        <w:rPr>
          <w:b/>
          <w:bCs/>
        </w:rPr>
        <w:t>Modified Fisher scale</w:t>
      </w:r>
      <w:r w:rsidRPr="006A2914">
        <w:t xml:space="preserve"> — Like the Fisher scale, the modified Fisher scale (also known as the Claassen grading system) is an index of the risk of delayed cerebral </w:t>
      </w:r>
      <w:r w:rsidRPr="006A2914">
        <w:lastRenderedPageBreak/>
        <w:t>ischemia due to vasospasm after SAH. It does not address clinical outcomes. Unlike the Fisher scale, the modified Fisher scale takes into account the separate and additive risk of SAH and intraventricular hemorrhage (IVH).</w:t>
      </w:r>
    </w:p>
    <w:p w14:paraId="73786FEA" w14:textId="77777777" w:rsidR="006A2914" w:rsidRPr="006A2914" w:rsidRDefault="006A2914" w:rsidP="006A2914">
      <w:r w:rsidRPr="006A2914">
        <w:t>Ten cisterns or fissures are evaluated for blood with the modified Fisher scale. These include the frontal interhemispheric fissure, the quadrigeminal cistern, the bilateral suprasellar and ambient cisterns, and the bilateral basal sylvian and lateral sylvian fissures. The scale is graded as follows:</w:t>
      </w:r>
    </w:p>
    <w:p w14:paraId="6E6A603D" w14:textId="77777777" w:rsidR="006A2914" w:rsidRPr="006A2914" w:rsidRDefault="006A2914" w:rsidP="006A2914">
      <w:r w:rsidRPr="006A2914">
        <w:t>●Grade 0: No SAH or IVH</w:t>
      </w:r>
    </w:p>
    <w:p w14:paraId="01FAE44C" w14:textId="77777777" w:rsidR="006A2914" w:rsidRPr="006A2914" w:rsidRDefault="006A2914" w:rsidP="006A2914">
      <w:r w:rsidRPr="006A2914">
        <w:t>●Grade 1: Minimal SAH and no IVH</w:t>
      </w:r>
    </w:p>
    <w:p w14:paraId="1114ECE3" w14:textId="77777777" w:rsidR="006A2914" w:rsidRPr="006A2914" w:rsidRDefault="006A2914" w:rsidP="006A2914">
      <w:r w:rsidRPr="006A2914">
        <w:t>●Grade 2: Minimal SAH with bilateral IVH</w:t>
      </w:r>
    </w:p>
    <w:p w14:paraId="6AD0798F" w14:textId="77777777" w:rsidR="006A2914" w:rsidRPr="006A2914" w:rsidRDefault="006A2914" w:rsidP="006A2914">
      <w:r w:rsidRPr="006A2914">
        <w:t>●Grade 3: Thick SAH (completely filling one or more cistern or fissure) without bilateral IVH</w:t>
      </w:r>
    </w:p>
    <w:p w14:paraId="20FB0032" w14:textId="1C82531B" w:rsidR="006A2914" w:rsidRPr="006A2914" w:rsidRDefault="006A2914" w:rsidP="006A2914">
      <w:r w:rsidRPr="006A2914">
        <w:t>●Grade 4: Thick SAH (completely filling one or more cistern or fissure) with bilateral IVH</w:t>
      </w:r>
    </w:p>
    <w:p w14:paraId="21BF78E1" w14:textId="748EC78F" w:rsidR="00D65D52" w:rsidRDefault="006A2914" w:rsidP="00817654">
      <w:r w:rsidRPr="006A2914">
        <w:t>The best predictors of delayed cerebral ischemia due to vasospasm were thick SAH completely filling any cistern or fissure (odds ratio [OR] 2.3, 95% CI 1.5-9.5) and bilateral IVH (OR 4.1, 95% CI 1.7-9.8)</w:t>
      </w:r>
      <w:r>
        <w:rPr>
          <w:rFonts w:hint="eastAsia"/>
        </w:rPr>
        <w:t>.</w:t>
      </w:r>
    </w:p>
    <w:p w14:paraId="4AB61136" w14:textId="77777777" w:rsidR="00E80EC4" w:rsidRDefault="00E80EC4" w:rsidP="00817654"/>
    <w:p w14:paraId="1FAC93DB" w14:textId="2F7AADC3" w:rsidR="00E80EC4" w:rsidRPr="00E80EC4" w:rsidRDefault="00E80EC4" w:rsidP="00E80EC4">
      <w:r w:rsidRPr="00E80EC4">
        <w:rPr>
          <w:b/>
          <w:bCs/>
        </w:rPr>
        <w:t>Ogilvy and Carter grading system</w:t>
      </w:r>
      <w:r w:rsidRPr="00E80EC4">
        <w:t> — A SAH classification system to predict outcome for surgical management of SAH due to ruptured aneurysm. It stratifies patients based upon age, Hunt and Hess grade (clinical condition), Fisher grade (SAH volume and vasospasm risk), and aneurysm size.</w:t>
      </w:r>
    </w:p>
    <w:p w14:paraId="3AB0EB83" w14:textId="77777777" w:rsidR="00E80EC4" w:rsidRPr="00E80EC4" w:rsidRDefault="00E80EC4" w:rsidP="00E80EC4">
      <w:r w:rsidRPr="00E80EC4">
        <w:t>One point is given for each of the following variables:</w:t>
      </w:r>
    </w:p>
    <w:p w14:paraId="3047C7D9" w14:textId="77777777" w:rsidR="00E80EC4" w:rsidRPr="00E80EC4" w:rsidRDefault="00E80EC4" w:rsidP="00E80EC4">
      <w:r w:rsidRPr="00E80EC4">
        <w:t>●Age greater than 50</w:t>
      </w:r>
    </w:p>
    <w:p w14:paraId="4CCA9FB5" w14:textId="77777777" w:rsidR="00E80EC4" w:rsidRPr="00E80EC4" w:rsidRDefault="00E80EC4" w:rsidP="00E80EC4">
      <w:r w:rsidRPr="00E80EC4">
        <w:t>●Hunt and Hess grade 4 to 5 (in coma)</w:t>
      </w:r>
    </w:p>
    <w:p w14:paraId="145DAE5C" w14:textId="77777777" w:rsidR="00E80EC4" w:rsidRPr="00E80EC4" w:rsidRDefault="00E80EC4" w:rsidP="00E80EC4">
      <w:r w:rsidRPr="00E80EC4">
        <w:t>●Fisher grade score 3 to 4</w:t>
      </w:r>
    </w:p>
    <w:p w14:paraId="68F6BD76" w14:textId="77777777" w:rsidR="00E80EC4" w:rsidRPr="00E80EC4" w:rsidRDefault="00E80EC4" w:rsidP="00E80EC4">
      <w:r w:rsidRPr="00E80EC4">
        <w:t>●Aneurysm size &gt;10 mm</w:t>
      </w:r>
    </w:p>
    <w:p w14:paraId="5CCF40FD" w14:textId="77777777" w:rsidR="00E80EC4" w:rsidRPr="00E80EC4" w:rsidRDefault="00E80EC4" w:rsidP="00E80EC4">
      <w:r w:rsidRPr="00E80EC4">
        <w:lastRenderedPageBreak/>
        <w:t>●An additional point is added for a giant posterior circulation aneurysm (≥25 mm)</w:t>
      </w:r>
    </w:p>
    <w:p w14:paraId="15FD240C" w14:textId="77777777" w:rsidR="00E80EC4" w:rsidRPr="00E80EC4" w:rsidRDefault="00E80EC4" w:rsidP="00E80EC4">
      <w:r w:rsidRPr="00E80EC4">
        <w:t>The total score ranges from 0 to 5, corresponding to grades 0 to 5.</w:t>
      </w:r>
    </w:p>
    <w:p w14:paraId="4FA16471" w14:textId="6F29094B" w:rsidR="00E80EC4" w:rsidRDefault="00E80EC4" w:rsidP="00817654">
      <w:r w:rsidRPr="00E80EC4">
        <w:t>In a prospective evaluation of this system in 72 patients with SAH, the authors reported good to excellent outcomes in greater than 78 percent of patients with grades 0 to 2. In comparison, good outcomes were seen in 67 percent of grade 3 and 25 percent of grade 4 patients. Of note, there was no statistical difference in outcomes between grades 0 and 1.</w:t>
      </w:r>
    </w:p>
    <w:p w14:paraId="23B71932" w14:textId="53F82536" w:rsidR="00E80EC4" w:rsidRDefault="00E80EC4" w:rsidP="00817654">
      <w:r>
        <w:rPr>
          <w:rFonts w:hint="eastAsia"/>
        </w:rPr>
        <w:t>@2</w:t>
      </w:r>
    </w:p>
    <w:p w14:paraId="48DC413E" w14:textId="77777777" w:rsidR="003F2B84" w:rsidRDefault="003F2B84" w:rsidP="00817654"/>
    <w:p w14:paraId="096A357B" w14:textId="07FDBED6" w:rsidR="003F2B84" w:rsidRDefault="003F2B84" w:rsidP="00817654">
      <w:r>
        <w:rPr>
          <w:rFonts w:hint="eastAsia"/>
        </w:rPr>
        <w:t>@3</w:t>
      </w:r>
    </w:p>
    <w:p w14:paraId="6AF8A6FA" w14:textId="602AAFF7" w:rsidR="003F2B84" w:rsidRDefault="003F2B84" w:rsidP="00817654">
      <w:pPr>
        <w:rPr>
          <w:rFonts w:hint="eastAsia"/>
        </w:rPr>
      </w:pPr>
      <w:r w:rsidRPr="003F2B84">
        <w:t>The relationship between </w:t>
      </w:r>
      <w:r w:rsidRPr="003F2B84">
        <w:rPr>
          <w:b/>
          <w:bCs/>
        </w:rPr>
        <w:t>internal carotid artery (ICA) tortuosity and stroke remains controversial</w:t>
      </w:r>
      <w:r w:rsidRPr="003F2B84">
        <w:t>, though emerging evidence suggests an association, particularly with severe tortuosity and specific stroke subtypes.</w:t>
      </w:r>
    </w:p>
    <w:p w14:paraId="047DBB03" w14:textId="77777777" w:rsidR="003F2B84" w:rsidRPr="003F2B84" w:rsidRDefault="003F2B84" w:rsidP="003F2B84">
      <w:pPr>
        <w:numPr>
          <w:ilvl w:val="0"/>
          <w:numId w:val="3"/>
        </w:numPr>
      </w:pPr>
      <w:r w:rsidRPr="003F2B84">
        <w:rPr>
          <w:b/>
          <w:bCs/>
        </w:rPr>
        <w:t>Severe kinking</w:t>
      </w:r>
      <w:r w:rsidRPr="003F2B84">
        <w:t>: A study using digital subtraction angiography found that severe kinking (but not mild or moderate) was independently associated with ischemic stroke/TIA (OR 1.39, 95% CI 1.03-1.88), with posterior circulation being particularly vulnerable. [3]</w:t>
      </w:r>
    </w:p>
    <w:p w14:paraId="5D45DAC4" w14:textId="77777777" w:rsidR="003F2B84" w:rsidRDefault="003F2B84" w:rsidP="00817654">
      <w:pPr>
        <w:numPr>
          <w:ilvl w:val="0"/>
          <w:numId w:val="3"/>
        </w:numPr>
      </w:pPr>
      <w:r w:rsidRPr="003F2B84">
        <w:rPr>
          <w:b/>
          <w:bCs/>
        </w:rPr>
        <w:t>Ipsilateral cerebral ischemia</w:t>
      </w:r>
      <w:r w:rsidRPr="003F2B84">
        <w:t>: In a large ultrasonographic study of 19,804 patients, carotid kinking was associated with ipsilateral cerebral ischemic events (OR 1.43, 95% CI 1.04-1.96). The prevalence of ICA morphological changes was 13.5%, with kinking representing 80% of cases.</w:t>
      </w:r>
    </w:p>
    <w:p w14:paraId="7B36EA9C" w14:textId="712CC31B" w:rsidR="003F2B84" w:rsidRDefault="003F2B84" w:rsidP="00817654">
      <w:pPr>
        <w:numPr>
          <w:ilvl w:val="0"/>
          <w:numId w:val="3"/>
        </w:numPr>
      </w:pPr>
      <w:r w:rsidRPr="003F2B84">
        <w:t>The Society for Vascular Surgery notes that management of isolated coils and kinks without significant stenosis remains controversial. [5] One randomized trial of 182 patients with symptomatic isolated ICA coils/kinks showed surgical correction resulted in 0% late stroke versus 6.6% with medical treatment (P=0.01), though 41% of medical patients crossed over to surgery, complicating interpretation</w:t>
      </w:r>
    </w:p>
    <w:p w14:paraId="364B6121" w14:textId="4A235574" w:rsidR="003F2B84" w:rsidRDefault="003F2B84" w:rsidP="003F2B84">
      <w:pPr>
        <w:ind w:left="360"/>
      </w:pPr>
      <w:r>
        <w:rPr>
          <w:rFonts w:hint="eastAsia"/>
        </w:rPr>
        <w:lastRenderedPageBreak/>
        <w:t>@3</w:t>
      </w:r>
    </w:p>
    <w:p w14:paraId="2AB90079" w14:textId="77777777" w:rsidR="003F2B84" w:rsidRDefault="003F2B84" w:rsidP="003F2B84">
      <w:pPr>
        <w:ind w:left="360"/>
      </w:pPr>
    </w:p>
    <w:p w14:paraId="79006E49" w14:textId="65DBCF62" w:rsidR="003F2B84" w:rsidRDefault="003F2B84" w:rsidP="003F2B84">
      <w:pPr>
        <w:ind w:left="360"/>
      </w:pPr>
      <w:r>
        <w:rPr>
          <w:rFonts w:hint="eastAsia"/>
        </w:rPr>
        <w:t>@4</w:t>
      </w:r>
    </w:p>
    <w:p w14:paraId="05886B7C" w14:textId="77777777" w:rsidR="003F2B84" w:rsidRPr="003F2B84" w:rsidRDefault="003F2B84" w:rsidP="003F2B84">
      <w:pPr>
        <w:ind w:left="360"/>
      </w:pPr>
      <w:r w:rsidRPr="003F2B84">
        <w:t>Approximately </w:t>
      </w:r>
      <w:r w:rsidRPr="003F2B84">
        <w:rPr>
          <w:b/>
          <w:bCs/>
        </w:rPr>
        <w:t>20% of intracerebral hemorrhages</w:t>
      </w:r>
      <w:r w:rsidRPr="003F2B84">
        <w:t> are caused by underlying structural lesions rather than purely small vessel rupture. [1] The remaining </w:t>
      </w:r>
      <w:r w:rsidRPr="003F2B84">
        <w:rPr>
          <w:b/>
          <w:bCs/>
        </w:rPr>
        <w:t>80% are primary or spontaneous ICH</w:t>
      </w:r>
      <w:r w:rsidRPr="003F2B84">
        <w:t> resulting from cerebral small vessel disease (hypertensive arteriolosclerosis or cerebral amyloid angiopathy). [1-2]</w:t>
      </w:r>
    </w:p>
    <w:p w14:paraId="5D903190" w14:textId="77777777" w:rsidR="003F2B84" w:rsidRPr="003F2B84" w:rsidRDefault="003F2B84" w:rsidP="003F2B84">
      <w:pPr>
        <w:ind w:left="360"/>
      </w:pPr>
      <w:r w:rsidRPr="003F2B84">
        <w:rPr>
          <w:b/>
          <w:bCs/>
        </w:rPr>
        <w:t>Structural lesions causing secondary ICH</w:t>
      </w:r>
      <w:r w:rsidRPr="003F2B84">
        <w:t> include: [2-3]</w:t>
      </w:r>
    </w:p>
    <w:p w14:paraId="7FCA4005" w14:textId="77777777" w:rsidR="003F2B84" w:rsidRPr="003F2B84" w:rsidRDefault="003F2B84" w:rsidP="003F2B84">
      <w:pPr>
        <w:numPr>
          <w:ilvl w:val="0"/>
          <w:numId w:val="4"/>
        </w:numPr>
      </w:pPr>
      <w:r w:rsidRPr="003F2B84">
        <w:t>Macrovascular malformations (arteriovenous malformations, aneurysms, dural arteriovenous fistulas, cavernous malformations)</w:t>
      </w:r>
    </w:p>
    <w:p w14:paraId="0D06F070" w14:textId="77777777" w:rsidR="003F2B84" w:rsidRPr="003F2B84" w:rsidRDefault="003F2B84" w:rsidP="003F2B84">
      <w:pPr>
        <w:numPr>
          <w:ilvl w:val="0"/>
          <w:numId w:val="4"/>
        </w:numPr>
      </w:pPr>
      <w:r w:rsidRPr="003F2B84">
        <w:t>Intracranial tumors</w:t>
      </w:r>
    </w:p>
    <w:p w14:paraId="5E42AC76" w14:textId="77777777" w:rsidR="003F2B84" w:rsidRPr="003F2B84" w:rsidRDefault="003F2B84" w:rsidP="003F2B84">
      <w:pPr>
        <w:numPr>
          <w:ilvl w:val="0"/>
          <w:numId w:val="4"/>
        </w:numPr>
      </w:pPr>
      <w:r w:rsidRPr="003F2B84">
        <w:t>Cerebral venous sinus thrombosis</w:t>
      </w:r>
    </w:p>
    <w:p w14:paraId="3EDF186A" w14:textId="77777777" w:rsidR="003F2B84" w:rsidRPr="003F2B84" w:rsidRDefault="003F2B84" w:rsidP="003F2B84">
      <w:pPr>
        <w:numPr>
          <w:ilvl w:val="0"/>
          <w:numId w:val="4"/>
        </w:numPr>
      </w:pPr>
      <w:r w:rsidRPr="003F2B84">
        <w:t>Hemorrhagic transformation of ischemic stroke</w:t>
      </w:r>
    </w:p>
    <w:p w14:paraId="0FB8636B" w14:textId="77777777" w:rsidR="003F2B84" w:rsidRPr="003F2B84" w:rsidRDefault="003F2B84" w:rsidP="003F2B84">
      <w:pPr>
        <w:numPr>
          <w:ilvl w:val="0"/>
          <w:numId w:val="4"/>
        </w:numPr>
      </w:pPr>
      <w:r w:rsidRPr="003F2B84">
        <w:t>Coagulation disorders</w:t>
      </w:r>
    </w:p>
    <w:p w14:paraId="2FCAA93C" w14:textId="77777777" w:rsidR="003F2B84" w:rsidRPr="003F2B84" w:rsidRDefault="003F2B84" w:rsidP="003F2B84">
      <w:pPr>
        <w:numPr>
          <w:ilvl w:val="0"/>
          <w:numId w:val="4"/>
        </w:numPr>
      </w:pPr>
      <w:r w:rsidRPr="003F2B84">
        <w:t>Mycotic aneurysms</w:t>
      </w:r>
    </w:p>
    <w:p w14:paraId="0CCB2077" w14:textId="77777777" w:rsidR="003F2B84" w:rsidRPr="003F2B84" w:rsidRDefault="003F2B84" w:rsidP="003F2B84">
      <w:pPr>
        <w:numPr>
          <w:ilvl w:val="0"/>
          <w:numId w:val="4"/>
        </w:numPr>
      </w:pPr>
      <w:r w:rsidRPr="003F2B84">
        <w:t>Reversible vasoconstriction syndrome</w:t>
      </w:r>
    </w:p>
    <w:p w14:paraId="3E21DE1C" w14:textId="57464F1D" w:rsidR="003F2B84" w:rsidRDefault="003F2B84" w:rsidP="003F2B84">
      <w:pPr>
        <w:ind w:left="360"/>
        <w:rPr>
          <w:rFonts w:hint="eastAsia"/>
        </w:rPr>
      </w:pPr>
      <w:r>
        <w:rPr>
          <w:rFonts w:hint="eastAsia"/>
        </w:rPr>
        <w:t>@4</w:t>
      </w:r>
    </w:p>
    <w:p w14:paraId="2F5CCDDE" w14:textId="77777777" w:rsidR="003F2B84" w:rsidRPr="003F2B84" w:rsidRDefault="003F2B84" w:rsidP="003F2B84">
      <w:pPr>
        <w:ind w:left="360"/>
        <w:rPr>
          <w:rFonts w:hint="eastAsia"/>
        </w:rPr>
      </w:pPr>
    </w:p>
    <w:sectPr w:rsidR="003F2B84" w:rsidRPr="003F2B8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97629"/>
    <w:multiLevelType w:val="multilevel"/>
    <w:tmpl w:val="B6F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EC7B97"/>
    <w:multiLevelType w:val="multilevel"/>
    <w:tmpl w:val="321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0C07F1"/>
    <w:multiLevelType w:val="multilevel"/>
    <w:tmpl w:val="AC1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E85379"/>
    <w:multiLevelType w:val="multilevel"/>
    <w:tmpl w:val="02C6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9243377">
    <w:abstractNumId w:val="1"/>
  </w:num>
  <w:num w:numId="2" w16cid:durableId="503859365">
    <w:abstractNumId w:val="2"/>
  </w:num>
  <w:num w:numId="3" w16cid:durableId="1970161047">
    <w:abstractNumId w:val="3"/>
  </w:num>
  <w:num w:numId="4" w16cid:durableId="205175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DB"/>
    <w:rsid w:val="0027116D"/>
    <w:rsid w:val="003F2B84"/>
    <w:rsid w:val="006A2914"/>
    <w:rsid w:val="007125B3"/>
    <w:rsid w:val="00817654"/>
    <w:rsid w:val="009715DB"/>
    <w:rsid w:val="00C222B4"/>
    <w:rsid w:val="00C5522B"/>
    <w:rsid w:val="00C96077"/>
    <w:rsid w:val="00D65D52"/>
    <w:rsid w:val="00E80E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BE2C"/>
  <w15:chartTrackingRefBased/>
  <w15:docId w15:val="{4E1E1C83-C7A0-4E58-A9FA-7D725080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15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5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15D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715D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715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15D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15D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15D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15D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15D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715D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715D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715D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715DB"/>
    <w:rPr>
      <w:rFonts w:eastAsiaTheme="majorEastAsia" w:cstheme="majorBidi"/>
      <w:color w:val="0F4761" w:themeColor="accent1" w:themeShade="BF"/>
    </w:rPr>
  </w:style>
  <w:style w:type="character" w:customStyle="1" w:styleId="60">
    <w:name w:val="標題 6 字元"/>
    <w:basedOn w:val="a0"/>
    <w:link w:val="6"/>
    <w:uiPriority w:val="9"/>
    <w:semiHidden/>
    <w:rsid w:val="009715DB"/>
    <w:rPr>
      <w:rFonts w:eastAsiaTheme="majorEastAsia" w:cstheme="majorBidi"/>
      <w:color w:val="595959" w:themeColor="text1" w:themeTint="A6"/>
    </w:rPr>
  </w:style>
  <w:style w:type="character" w:customStyle="1" w:styleId="70">
    <w:name w:val="標題 7 字元"/>
    <w:basedOn w:val="a0"/>
    <w:link w:val="7"/>
    <w:uiPriority w:val="9"/>
    <w:semiHidden/>
    <w:rsid w:val="009715DB"/>
    <w:rPr>
      <w:rFonts w:eastAsiaTheme="majorEastAsia" w:cstheme="majorBidi"/>
      <w:color w:val="595959" w:themeColor="text1" w:themeTint="A6"/>
    </w:rPr>
  </w:style>
  <w:style w:type="character" w:customStyle="1" w:styleId="80">
    <w:name w:val="標題 8 字元"/>
    <w:basedOn w:val="a0"/>
    <w:link w:val="8"/>
    <w:uiPriority w:val="9"/>
    <w:semiHidden/>
    <w:rsid w:val="009715DB"/>
    <w:rPr>
      <w:rFonts w:eastAsiaTheme="majorEastAsia" w:cstheme="majorBidi"/>
      <w:color w:val="272727" w:themeColor="text1" w:themeTint="D8"/>
    </w:rPr>
  </w:style>
  <w:style w:type="character" w:customStyle="1" w:styleId="90">
    <w:name w:val="標題 9 字元"/>
    <w:basedOn w:val="a0"/>
    <w:link w:val="9"/>
    <w:uiPriority w:val="9"/>
    <w:semiHidden/>
    <w:rsid w:val="009715DB"/>
    <w:rPr>
      <w:rFonts w:eastAsiaTheme="majorEastAsia" w:cstheme="majorBidi"/>
      <w:color w:val="272727" w:themeColor="text1" w:themeTint="D8"/>
    </w:rPr>
  </w:style>
  <w:style w:type="paragraph" w:styleId="a3">
    <w:name w:val="Title"/>
    <w:basedOn w:val="a"/>
    <w:next w:val="a"/>
    <w:link w:val="a4"/>
    <w:uiPriority w:val="10"/>
    <w:qFormat/>
    <w:rsid w:val="009715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15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5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15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5DB"/>
    <w:pPr>
      <w:spacing w:before="160"/>
      <w:jc w:val="center"/>
    </w:pPr>
    <w:rPr>
      <w:i/>
      <w:iCs/>
      <w:color w:val="404040" w:themeColor="text1" w:themeTint="BF"/>
    </w:rPr>
  </w:style>
  <w:style w:type="character" w:customStyle="1" w:styleId="a8">
    <w:name w:val="引文 字元"/>
    <w:basedOn w:val="a0"/>
    <w:link w:val="a7"/>
    <w:uiPriority w:val="29"/>
    <w:rsid w:val="009715DB"/>
    <w:rPr>
      <w:i/>
      <w:iCs/>
      <w:color w:val="404040" w:themeColor="text1" w:themeTint="BF"/>
    </w:rPr>
  </w:style>
  <w:style w:type="paragraph" w:styleId="a9">
    <w:name w:val="List Paragraph"/>
    <w:basedOn w:val="a"/>
    <w:uiPriority w:val="34"/>
    <w:qFormat/>
    <w:rsid w:val="009715DB"/>
    <w:pPr>
      <w:ind w:left="720"/>
      <w:contextualSpacing/>
    </w:pPr>
  </w:style>
  <w:style w:type="character" w:styleId="aa">
    <w:name w:val="Intense Emphasis"/>
    <w:basedOn w:val="a0"/>
    <w:uiPriority w:val="21"/>
    <w:qFormat/>
    <w:rsid w:val="009715DB"/>
    <w:rPr>
      <w:i/>
      <w:iCs/>
      <w:color w:val="0F4761" w:themeColor="accent1" w:themeShade="BF"/>
    </w:rPr>
  </w:style>
  <w:style w:type="paragraph" w:styleId="ab">
    <w:name w:val="Intense Quote"/>
    <w:basedOn w:val="a"/>
    <w:next w:val="a"/>
    <w:link w:val="ac"/>
    <w:uiPriority w:val="30"/>
    <w:qFormat/>
    <w:rsid w:val="00971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15DB"/>
    <w:rPr>
      <w:i/>
      <w:iCs/>
      <w:color w:val="0F4761" w:themeColor="accent1" w:themeShade="BF"/>
    </w:rPr>
  </w:style>
  <w:style w:type="character" w:styleId="ad">
    <w:name w:val="Intense Reference"/>
    <w:basedOn w:val="a0"/>
    <w:uiPriority w:val="32"/>
    <w:qFormat/>
    <w:rsid w:val="009715DB"/>
    <w:rPr>
      <w:b/>
      <w:bCs/>
      <w:smallCaps/>
      <w:color w:val="0F4761" w:themeColor="accent1" w:themeShade="BF"/>
      <w:spacing w:val="5"/>
    </w:rPr>
  </w:style>
  <w:style w:type="character" w:styleId="ae">
    <w:name w:val="Hyperlink"/>
    <w:basedOn w:val="a0"/>
    <w:uiPriority w:val="99"/>
    <w:unhideWhenUsed/>
    <w:rsid w:val="006A2914"/>
    <w:rPr>
      <w:color w:val="467886" w:themeColor="hyperlink"/>
      <w:u w:val="single"/>
    </w:rPr>
  </w:style>
  <w:style w:type="character" w:styleId="af">
    <w:name w:val="Unresolved Mention"/>
    <w:basedOn w:val="a0"/>
    <w:uiPriority w:val="99"/>
    <w:semiHidden/>
    <w:unhideWhenUsed/>
    <w:rsid w:val="006A2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5496">
      <w:bodyDiv w:val="1"/>
      <w:marLeft w:val="0"/>
      <w:marRight w:val="0"/>
      <w:marTop w:val="0"/>
      <w:marBottom w:val="0"/>
      <w:divBdr>
        <w:top w:val="none" w:sz="0" w:space="0" w:color="auto"/>
        <w:left w:val="none" w:sz="0" w:space="0" w:color="auto"/>
        <w:bottom w:val="none" w:sz="0" w:space="0" w:color="auto"/>
        <w:right w:val="none" w:sz="0" w:space="0" w:color="auto"/>
      </w:divBdr>
    </w:div>
    <w:div w:id="276789520">
      <w:bodyDiv w:val="1"/>
      <w:marLeft w:val="0"/>
      <w:marRight w:val="0"/>
      <w:marTop w:val="0"/>
      <w:marBottom w:val="0"/>
      <w:divBdr>
        <w:top w:val="none" w:sz="0" w:space="0" w:color="auto"/>
        <w:left w:val="none" w:sz="0" w:space="0" w:color="auto"/>
        <w:bottom w:val="none" w:sz="0" w:space="0" w:color="auto"/>
        <w:right w:val="none" w:sz="0" w:space="0" w:color="auto"/>
      </w:divBdr>
    </w:div>
    <w:div w:id="386879566">
      <w:bodyDiv w:val="1"/>
      <w:marLeft w:val="0"/>
      <w:marRight w:val="0"/>
      <w:marTop w:val="0"/>
      <w:marBottom w:val="0"/>
      <w:divBdr>
        <w:top w:val="none" w:sz="0" w:space="0" w:color="auto"/>
        <w:left w:val="none" w:sz="0" w:space="0" w:color="auto"/>
        <w:bottom w:val="none" w:sz="0" w:space="0" w:color="auto"/>
        <w:right w:val="none" w:sz="0" w:space="0" w:color="auto"/>
      </w:divBdr>
    </w:div>
    <w:div w:id="474759438">
      <w:bodyDiv w:val="1"/>
      <w:marLeft w:val="0"/>
      <w:marRight w:val="0"/>
      <w:marTop w:val="0"/>
      <w:marBottom w:val="0"/>
      <w:divBdr>
        <w:top w:val="none" w:sz="0" w:space="0" w:color="auto"/>
        <w:left w:val="none" w:sz="0" w:space="0" w:color="auto"/>
        <w:bottom w:val="none" w:sz="0" w:space="0" w:color="auto"/>
        <w:right w:val="none" w:sz="0" w:space="0" w:color="auto"/>
      </w:divBdr>
    </w:div>
    <w:div w:id="486628611">
      <w:bodyDiv w:val="1"/>
      <w:marLeft w:val="0"/>
      <w:marRight w:val="0"/>
      <w:marTop w:val="0"/>
      <w:marBottom w:val="0"/>
      <w:divBdr>
        <w:top w:val="none" w:sz="0" w:space="0" w:color="auto"/>
        <w:left w:val="none" w:sz="0" w:space="0" w:color="auto"/>
        <w:bottom w:val="none" w:sz="0" w:space="0" w:color="auto"/>
        <w:right w:val="none" w:sz="0" w:space="0" w:color="auto"/>
      </w:divBdr>
    </w:div>
    <w:div w:id="639385217">
      <w:bodyDiv w:val="1"/>
      <w:marLeft w:val="0"/>
      <w:marRight w:val="0"/>
      <w:marTop w:val="0"/>
      <w:marBottom w:val="0"/>
      <w:divBdr>
        <w:top w:val="none" w:sz="0" w:space="0" w:color="auto"/>
        <w:left w:val="none" w:sz="0" w:space="0" w:color="auto"/>
        <w:bottom w:val="none" w:sz="0" w:space="0" w:color="auto"/>
        <w:right w:val="none" w:sz="0" w:space="0" w:color="auto"/>
      </w:divBdr>
    </w:div>
    <w:div w:id="644629962">
      <w:bodyDiv w:val="1"/>
      <w:marLeft w:val="0"/>
      <w:marRight w:val="0"/>
      <w:marTop w:val="0"/>
      <w:marBottom w:val="0"/>
      <w:divBdr>
        <w:top w:val="none" w:sz="0" w:space="0" w:color="auto"/>
        <w:left w:val="none" w:sz="0" w:space="0" w:color="auto"/>
        <w:bottom w:val="none" w:sz="0" w:space="0" w:color="auto"/>
        <w:right w:val="none" w:sz="0" w:space="0" w:color="auto"/>
      </w:divBdr>
    </w:div>
    <w:div w:id="701172849">
      <w:bodyDiv w:val="1"/>
      <w:marLeft w:val="0"/>
      <w:marRight w:val="0"/>
      <w:marTop w:val="0"/>
      <w:marBottom w:val="0"/>
      <w:divBdr>
        <w:top w:val="none" w:sz="0" w:space="0" w:color="auto"/>
        <w:left w:val="none" w:sz="0" w:space="0" w:color="auto"/>
        <w:bottom w:val="none" w:sz="0" w:space="0" w:color="auto"/>
        <w:right w:val="none" w:sz="0" w:space="0" w:color="auto"/>
      </w:divBdr>
    </w:div>
    <w:div w:id="877620221">
      <w:bodyDiv w:val="1"/>
      <w:marLeft w:val="0"/>
      <w:marRight w:val="0"/>
      <w:marTop w:val="0"/>
      <w:marBottom w:val="0"/>
      <w:divBdr>
        <w:top w:val="none" w:sz="0" w:space="0" w:color="auto"/>
        <w:left w:val="none" w:sz="0" w:space="0" w:color="auto"/>
        <w:bottom w:val="none" w:sz="0" w:space="0" w:color="auto"/>
        <w:right w:val="none" w:sz="0" w:space="0" w:color="auto"/>
      </w:divBdr>
    </w:div>
    <w:div w:id="1363171564">
      <w:bodyDiv w:val="1"/>
      <w:marLeft w:val="0"/>
      <w:marRight w:val="0"/>
      <w:marTop w:val="0"/>
      <w:marBottom w:val="0"/>
      <w:divBdr>
        <w:top w:val="none" w:sz="0" w:space="0" w:color="auto"/>
        <w:left w:val="none" w:sz="0" w:space="0" w:color="auto"/>
        <w:bottom w:val="none" w:sz="0" w:space="0" w:color="auto"/>
        <w:right w:val="none" w:sz="0" w:space="0" w:color="auto"/>
      </w:divBdr>
    </w:div>
    <w:div w:id="1653025361">
      <w:bodyDiv w:val="1"/>
      <w:marLeft w:val="0"/>
      <w:marRight w:val="0"/>
      <w:marTop w:val="0"/>
      <w:marBottom w:val="0"/>
      <w:divBdr>
        <w:top w:val="none" w:sz="0" w:space="0" w:color="auto"/>
        <w:left w:val="none" w:sz="0" w:space="0" w:color="auto"/>
        <w:bottom w:val="none" w:sz="0" w:space="0" w:color="auto"/>
        <w:right w:val="none" w:sz="0" w:space="0" w:color="auto"/>
      </w:divBdr>
    </w:div>
    <w:div w:id="1657101981">
      <w:bodyDiv w:val="1"/>
      <w:marLeft w:val="0"/>
      <w:marRight w:val="0"/>
      <w:marTop w:val="0"/>
      <w:marBottom w:val="0"/>
      <w:divBdr>
        <w:top w:val="none" w:sz="0" w:space="0" w:color="auto"/>
        <w:left w:val="none" w:sz="0" w:space="0" w:color="auto"/>
        <w:bottom w:val="none" w:sz="0" w:space="0" w:color="auto"/>
        <w:right w:val="none" w:sz="0" w:space="0" w:color="auto"/>
      </w:divBdr>
    </w:div>
    <w:div w:id="1660697696">
      <w:bodyDiv w:val="1"/>
      <w:marLeft w:val="0"/>
      <w:marRight w:val="0"/>
      <w:marTop w:val="0"/>
      <w:marBottom w:val="0"/>
      <w:divBdr>
        <w:top w:val="none" w:sz="0" w:space="0" w:color="auto"/>
        <w:left w:val="none" w:sz="0" w:space="0" w:color="auto"/>
        <w:bottom w:val="none" w:sz="0" w:space="0" w:color="auto"/>
        <w:right w:val="none" w:sz="0" w:space="0" w:color="auto"/>
      </w:divBdr>
    </w:div>
    <w:div w:id="2071952245">
      <w:bodyDiv w:val="1"/>
      <w:marLeft w:val="0"/>
      <w:marRight w:val="0"/>
      <w:marTop w:val="0"/>
      <w:marBottom w:val="0"/>
      <w:divBdr>
        <w:top w:val="none" w:sz="0" w:space="0" w:color="auto"/>
        <w:left w:val="none" w:sz="0" w:space="0" w:color="auto"/>
        <w:bottom w:val="none" w:sz="0" w:space="0" w:color="auto"/>
        <w:right w:val="none" w:sz="0" w:space="0" w:color="auto"/>
      </w:divBdr>
    </w:div>
    <w:div w:id="2090804021">
      <w:bodyDiv w:val="1"/>
      <w:marLeft w:val="0"/>
      <w:marRight w:val="0"/>
      <w:marTop w:val="0"/>
      <w:marBottom w:val="0"/>
      <w:divBdr>
        <w:top w:val="none" w:sz="0" w:space="0" w:color="auto"/>
        <w:left w:val="none" w:sz="0" w:space="0" w:color="auto"/>
        <w:bottom w:val="none" w:sz="0" w:space="0" w:color="auto"/>
        <w:right w:val="none" w:sz="0" w:space="0" w:color="auto"/>
      </w:divBdr>
    </w:div>
    <w:div w:id="210325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ptodate.com/contents/subarachnoid-hemorrhage-grading-scales/abstract/4"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朱展麟</dc:creator>
  <cp:keywords/>
  <dc:description/>
  <cp:lastModifiedBy>朱展麟</cp:lastModifiedBy>
  <cp:revision>2</cp:revision>
  <dcterms:created xsi:type="dcterms:W3CDTF">2026-05-17T04:38:00Z</dcterms:created>
  <dcterms:modified xsi:type="dcterms:W3CDTF">2026-05-21T03:38:00Z</dcterms:modified>
</cp:coreProperties>
</file>