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C8464" w14:textId="2AF1F236" w:rsidR="0015519E" w:rsidRDefault="00813F69">
      <w:r>
        <w:rPr>
          <w:rFonts w:hint="eastAsia"/>
        </w:rPr>
        <w:t>@1</w:t>
      </w:r>
    </w:p>
    <w:p w14:paraId="5B368A32" w14:textId="77777777" w:rsidR="00813F69" w:rsidRPr="00813F69" w:rsidRDefault="00813F69" w:rsidP="00813F69">
      <w:pPr>
        <w:rPr>
          <w:b/>
          <w:bCs/>
        </w:rPr>
      </w:pPr>
      <w:r w:rsidRPr="00813F69">
        <w:rPr>
          <w:b/>
          <w:bCs/>
        </w:rPr>
        <w:t>Predictors of improvement after shunting for normal pressure hydrocephalus</w:t>
      </w:r>
    </w:p>
    <w:tbl>
      <w:tblPr>
        <w:tblW w:w="10896" w:type="dxa"/>
        <w:tblBorders>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10896"/>
      </w:tblGrid>
      <w:tr w:rsidR="00813F69" w:rsidRPr="00813F69" w14:paraId="5074302B" w14:textId="77777777">
        <w:tc>
          <w:tcPr>
            <w:tcW w:w="0" w:type="auto"/>
            <w:tcBorders>
              <w:top w:val="single" w:sz="6" w:space="0" w:color="42484A"/>
              <w:left w:val="single" w:sz="6" w:space="0" w:color="42484A"/>
              <w:bottom w:val="single" w:sz="6" w:space="0" w:color="42484A"/>
              <w:right w:val="single" w:sz="6" w:space="0" w:color="42484A"/>
            </w:tcBorders>
            <w:shd w:val="clear" w:color="auto" w:fill="26292B"/>
            <w:tcMar>
              <w:top w:w="75" w:type="dxa"/>
              <w:left w:w="120" w:type="dxa"/>
              <w:bottom w:w="75" w:type="dxa"/>
              <w:right w:w="144" w:type="dxa"/>
            </w:tcMar>
            <w:vAlign w:val="center"/>
            <w:hideMark/>
          </w:tcPr>
          <w:p w14:paraId="566088FD" w14:textId="77777777" w:rsidR="00813F69" w:rsidRPr="00813F69" w:rsidRDefault="00813F69" w:rsidP="00813F69">
            <w:pPr>
              <w:rPr>
                <w:b/>
                <w:bCs/>
              </w:rPr>
            </w:pPr>
            <w:r w:rsidRPr="00813F69">
              <w:rPr>
                <w:b/>
                <w:bCs/>
              </w:rPr>
              <w:t>Favorable indicators*</w:t>
            </w:r>
          </w:p>
        </w:tc>
      </w:tr>
      <w:tr w:rsidR="00813F69" w:rsidRPr="00813F69" w14:paraId="13D20E2D" w14:textId="77777777">
        <w:tc>
          <w:tcPr>
            <w:tcW w:w="0" w:type="auto"/>
            <w:tcBorders>
              <w:top w:val="single" w:sz="6" w:space="0" w:color="42484A"/>
              <w:left w:val="single" w:sz="6" w:space="0" w:color="42484A"/>
              <w:bottom w:val="single" w:sz="6" w:space="0" w:color="42484A"/>
              <w:right w:val="single" w:sz="6" w:space="0" w:color="42484A"/>
            </w:tcBorders>
            <w:tcMar>
              <w:top w:w="72" w:type="dxa"/>
              <w:left w:w="480" w:type="dxa"/>
              <w:bottom w:w="72" w:type="dxa"/>
              <w:right w:w="144" w:type="dxa"/>
            </w:tcMar>
            <w:hideMark/>
          </w:tcPr>
          <w:p w14:paraId="1468CECB" w14:textId="77777777" w:rsidR="00813F69" w:rsidRPr="00813F69" w:rsidRDefault="00813F69" w:rsidP="00813F69">
            <w:r w:rsidRPr="00813F69">
              <w:t>Early appearance of gait disorder</w:t>
            </w:r>
          </w:p>
        </w:tc>
      </w:tr>
      <w:tr w:rsidR="00813F69" w:rsidRPr="00813F69" w14:paraId="6BD7E937" w14:textId="77777777">
        <w:tc>
          <w:tcPr>
            <w:tcW w:w="0" w:type="auto"/>
            <w:tcBorders>
              <w:top w:val="single" w:sz="6" w:space="0" w:color="42484A"/>
              <w:left w:val="single" w:sz="6" w:space="0" w:color="42484A"/>
              <w:bottom w:val="single" w:sz="6" w:space="0" w:color="42484A"/>
              <w:right w:val="single" w:sz="6" w:space="0" w:color="42484A"/>
            </w:tcBorders>
            <w:tcMar>
              <w:top w:w="72" w:type="dxa"/>
              <w:left w:w="480" w:type="dxa"/>
              <w:bottom w:w="72" w:type="dxa"/>
              <w:right w:w="144" w:type="dxa"/>
            </w:tcMar>
            <w:hideMark/>
          </w:tcPr>
          <w:p w14:paraId="7C76924F" w14:textId="77777777" w:rsidR="00813F69" w:rsidRPr="00813F69" w:rsidRDefault="00813F69" w:rsidP="00813F69">
            <w:r w:rsidRPr="00813F69">
              <w:t>Gait disorder most prominent symptom</w:t>
            </w:r>
          </w:p>
        </w:tc>
      </w:tr>
      <w:tr w:rsidR="00813F69" w:rsidRPr="00813F69" w14:paraId="034556EE" w14:textId="77777777">
        <w:tc>
          <w:tcPr>
            <w:tcW w:w="0" w:type="auto"/>
            <w:tcBorders>
              <w:top w:val="single" w:sz="6" w:space="0" w:color="42484A"/>
              <w:left w:val="single" w:sz="6" w:space="0" w:color="42484A"/>
              <w:bottom w:val="single" w:sz="6" w:space="0" w:color="42484A"/>
              <w:right w:val="single" w:sz="6" w:space="0" w:color="42484A"/>
            </w:tcBorders>
            <w:tcMar>
              <w:top w:w="72" w:type="dxa"/>
              <w:left w:w="480" w:type="dxa"/>
              <w:bottom w:w="72" w:type="dxa"/>
              <w:right w:w="144" w:type="dxa"/>
            </w:tcMar>
            <w:hideMark/>
          </w:tcPr>
          <w:p w14:paraId="551AE162" w14:textId="77777777" w:rsidR="00813F69" w:rsidRPr="00813F69" w:rsidRDefault="00813F69" w:rsidP="00813F69">
            <w:r w:rsidRPr="00813F69">
              <w:t>Shorter duration of symptoms (&lt;6 months)</w:t>
            </w:r>
          </w:p>
        </w:tc>
      </w:tr>
      <w:tr w:rsidR="00813F69" w:rsidRPr="00813F69" w14:paraId="140C488C" w14:textId="77777777">
        <w:tc>
          <w:tcPr>
            <w:tcW w:w="0" w:type="auto"/>
            <w:tcBorders>
              <w:top w:val="single" w:sz="6" w:space="0" w:color="42484A"/>
              <w:left w:val="single" w:sz="6" w:space="0" w:color="42484A"/>
              <w:bottom w:val="single" w:sz="6" w:space="0" w:color="42484A"/>
              <w:right w:val="single" w:sz="6" w:space="0" w:color="42484A"/>
            </w:tcBorders>
            <w:tcMar>
              <w:top w:w="72" w:type="dxa"/>
              <w:left w:w="480" w:type="dxa"/>
              <w:bottom w:w="72" w:type="dxa"/>
              <w:right w:w="144" w:type="dxa"/>
            </w:tcMar>
            <w:hideMark/>
          </w:tcPr>
          <w:p w14:paraId="16249246" w14:textId="77777777" w:rsidR="00813F69" w:rsidRPr="00813F69" w:rsidRDefault="00813F69" w:rsidP="00813F69">
            <w:r w:rsidRPr="00813F69">
              <w:t>Identified etiology of NPH</w:t>
            </w:r>
          </w:p>
        </w:tc>
      </w:tr>
      <w:tr w:rsidR="00813F69" w:rsidRPr="00813F69" w14:paraId="7F85D56D" w14:textId="77777777">
        <w:tc>
          <w:tcPr>
            <w:tcW w:w="0" w:type="auto"/>
            <w:tcBorders>
              <w:top w:val="single" w:sz="6" w:space="0" w:color="42484A"/>
              <w:left w:val="single" w:sz="6" w:space="0" w:color="42484A"/>
              <w:bottom w:val="single" w:sz="6" w:space="0" w:color="42484A"/>
              <w:right w:val="single" w:sz="6" w:space="0" w:color="42484A"/>
            </w:tcBorders>
            <w:tcMar>
              <w:top w:w="72" w:type="dxa"/>
              <w:left w:w="480" w:type="dxa"/>
              <w:bottom w:w="72" w:type="dxa"/>
              <w:right w:w="144" w:type="dxa"/>
            </w:tcMar>
            <w:hideMark/>
          </w:tcPr>
          <w:p w14:paraId="3647E76B" w14:textId="77777777" w:rsidR="00813F69" w:rsidRPr="00813F69" w:rsidRDefault="00813F69" w:rsidP="00813F69">
            <w:r w:rsidRPr="00813F69">
              <w:t>Clinical response to CSF removal (tap test, lumbar drain)</w:t>
            </w:r>
          </w:p>
        </w:tc>
      </w:tr>
      <w:tr w:rsidR="00813F69" w:rsidRPr="00813F69" w14:paraId="25E10996" w14:textId="77777777">
        <w:tc>
          <w:tcPr>
            <w:tcW w:w="0" w:type="auto"/>
            <w:tcBorders>
              <w:top w:val="single" w:sz="6" w:space="0" w:color="42484A"/>
              <w:left w:val="single" w:sz="6" w:space="0" w:color="42484A"/>
              <w:bottom w:val="single" w:sz="6" w:space="0" w:color="42484A"/>
              <w:right w:val="single" w:sz="6" w:space="0" w:color="42484A"/>
            </w:tcBorders>
            <w:shd w:val="clear" w:color="auto" w:fill="26292B"/>
            <w:tcMar>
              <w:top w:w="75" w:type="dxa"/>
              <w:left w:w="120" w:type="dxa"/>
              <w:bottom w:w="75" w:type="dxa"/>
              <w:right w:w="144" w:type="dxa"/>
            </w:tcMar>
            <w:vAlign w:val="center"/>
            <w:hideMark/>
          </w:tcPr>
          <w:p w14:paraId="4C59A378" w14:textId="77777777" w:rsidR="00813F69" w:rsidRPr="00813F69" w:rsidRDefault="00813F69" w:rsidP="00813F69">
            <w:pPr>
              <w:rPr>
                <w:b/>
                <w:bCs/>
              </w:rPr>
            </w:pPr>
            <w:r w:rsidRPr="00813F69">
              <w:rPr>
                <w:b/>
                <w:bCs/>
              </w:rPr>
              <w:t>Unfavorable indicators*</w:t>
            </w:r>
          </w:p>
        </w:tc>
      </w:tr>
      <w:tr w:rsidR="00813F69" w:rsidRPr="00813F69" w14:paraId="4D128B2E" w14:textId="77777777">
        <w:tc>
          <w:tcPr>
            <w:tcW w:w="0" w:type="auto"/>
            <w:tcBorders>
              <w:top w:val="single" w:sz="6" w:space="0" w:color="42484A"/>
              <w:left w:val="single" w:sz="6" w:space="0" w:color="42484A"/>
              <w:bottom w:val="single" w:sz="6" w:space="0" w:color="42484A"/>
              <w:right w:val="single" w:sz="6" w:space="0" w:color="42484A"/>
            </w:tcBorders>
            <w:tcMar>
              <w:top w:w="72" w:type="dxa"/>
              <w:left w:w="480" w:type="dxa"/>
              <w:bottom w:w="72" w:type="dxa"/>
              <w:right w:w="144" w:type="dxa"/>
            </w:tcMar>
            <w:hideMark/>
          </w:tcPr>
          <w:p w14:paraId="453994E9" w14:textId="77777777" w:rsidR="00813F69" w:rsidRPr="00813F69" w:rsidRDefault="00813F69" w:rsidP="00813F69">
            <w:r w:rsidRPr="00813F69">
              <w:t>Early appearance of dementia</w:t>
            </w:r>
          </w:p>
        </w:tc>
      </w:tr>
      <w:tr w:rsidR="00813F69" w:rsidRPr="00813F69" w14:paraId="4A90264C" w14:textId="77777777">
        <w:tc>
          <w:tcPr>
            <w:tcW w:w="0" w:type="auto"/>
            <w:tcBorders>
              <w:top w:val="single" w:sz="6" w:space="0" w:color="42484A"/>
              <w:left w:val="single" w:sz="6" w:space="0" w:color="42484A"/>
              <w:bottom w:val="single" w:sz="6" w:space="0" w:color="42484A"/>
              <w:right w:val="single" w:sz="6" w:space="0" w:color="42484A"/>
            </w:tcBorders>
            <w:tcMar>
              <w:top w:w="72" w:type="dxa"/>
              <w:left w:w="480" w:type="dxa"/>
              <w:bottom w:w="72" w:type="dxa"/>
              <w:right w:w="144" w:type="dxa"/>
            </w:tcMar>
            <w:hideMark/>
          </w:tcPr>
          <w:p w14:paraId="5B724A10" w14:textId="77777777" w:rsidR="00813F69" w:rsidRPr="00813F69" w:rsidRDefault="00813F69" w:rsidP="00813F69">
            <w:r w:rsidRPr="00813F69">
              <w:t>Moderate to severe dementia</w:t>
            </w:r>
          </w:p>
        </w:tc>
      </w:tr>
      <w:tr w:rsidR="00813F69" w:rsidRPr="00813F69" w14:paraId="5D7DE937" w14:textId="77777777">
        <w:tc>
          <w:tcPr>
            <w:tcW w:w="0" w:type="auto"/>
            <w:tcBorders>
              <w:top w:val="single" w:sz="6" w:space="0" w:color="42484A"/>
              <w:left w:val="single" w:sz="6" w:space="0" w:color="42484A"/>
              <w:bottom w:val="single" w:sz="6" w:space="0" w:color="42484A"/>
              <w:right w:val="single" w:sz="6" w:space="0" w:color="42484A"/>
            </w:tcBorders>
            <w:tcMar>
              <w:top w:w="72" w:type="dxa"/>
              <w:left w:w="480" w:type="dxa"/>
              <w:bottom w:w="72" w:type="dxa"/>
              <w:right w:w="144" w:type="dxa"/>
            </w:tcMar>
            <w:hideMark/>
          </w:tcPr>
          <w:p w14:paraId="171A0D53" w14:textId="77777777" w:rsidR="00813F69" w:rsidRPr="00813F69" w:rsidRDefault="00813F69" w:rsidP="00813F69">
            <w:r w:rsidRPr="00813F69">
              <w:t>Dementia present for more than two years</w:t>
            </w:r>
          </w:p>
        </w:tc>
      </w:tr>
      <w:tr w:rsidR="00813F69" w:rsidRPr="00813F69" w14:paraId="48DE21EA" w14:textId="77777777">
        <w:tc>
          <w:tcPr>
            <w:tcW w:w="0" w:type="auto"/>
            <w:tcBorders>
              <w:top w:val="single" w:sz="6" w:space="0" w:color="42484A"/>
              <w:left w:val="single" w:sz="6" w:space="0" w:color="42484A"/>
              <w:bottom w:val="single" w:sz="6" w:space="0" w:color="42484A"/>
              <w:right w:val="single" w:sz="6" w:space="0" w:color="42484A"/>
            </w:tcBorders>
            <w:tcMar>
              <w:top w:w="72" w:type="dxa"/>
              <w:left w:w="480" w:type="dxa"/>
              <w:bottom w:w="72" w:type="dxa"/>
              <w:right w:w="144" w:type="dxa"/>
            </w:tcMar>
            <w:hideMark/>
          </w:tcPr>
          <w:p w14:paraId="4268C86F" w14:textId="77777777" w:rsidR="00813F69" w:rsidRPr="00813F69" w:rsidRDefault="00813F69" w:rsidP="00813F69">
            <w:r w:rsidRPr="00813F69">
              <w:t>Gait disorder absent or appearing after dementia</w:t>
            </w:r>
          </w:p>
        </w:tc>
      </w:tr>
      <w:tr w:rsidR="00813F69" w:rsidRPr="00813F69" w14:paraId="6E078B21" w14:textId="77777777">
        <w:tc>
          <w:tcPr>
            <w:tcW w:w="0" w:type="auto"/>
            <w:tcBorders>
              <w:top w:val="single" w:sz="6" w:space="0" w:color="42484A"/>
              <w:left w:val="single" w:sz="6" w:space="0" w:color="42484A"/>
              <w:bottom w:val="single" w:sz="6" w:space="0" w:color="42484A"/>
              <w:right w:val="single" w:sz="6" w:space="0" w:color="42484A"/>
            </w:tcBorders>
            <w:tcMar>
              <w:top w:w="72" w:type="dxa"/>
              <w:left w:w="480" w:type="dxa"/>
              <w:bottom w:w="72" w:type="dxa"/>
              <w:right w:w="144" w:type="dxa"/>
            </w:tcMar>
            <w:hideMark/>
          </w:tcPr>
          <w:p w14:paraId="0CC7F4D0" w14:textId="77777777" w:rsidR="00813F69" w:rsidRPr="00813F69" w:rsidRDefault="00813F69" w:rsidP="00813F69">
            <w:r w:rsidRPr="00813F69">
              <w:t>Alcoholism</w:t>
            </w:r>
          </w:p>
        </w:tc>
      </w:tr>
      <w:tr w:rsidR="00813F69" w:rsidRPr="00813F69" w14:paraId="41A37E11" w14:textId="77777777">
        <w:tc>
          <w:tcPr>
            <w:tcW w:w="0" w:type="auto"/>
            <w:tcBorders>
              <w:top w:val="single" w:sz="6" w:space="0" w:color="42484A"/>
              <w:left w:val="single" w:sz="6" w:space="0" w:color="42484A"/>
              <w:bottom w:val="single" w:sz="6" w:space="0" w:color="42484A"/>
              <w:right w:val="single" w:sz="6" w:space="0" w:color="42484A"/>
            </w:tcBorders>
            <w:tcMar>
              <w:top w:w="72" w:type="dxa"/>
              <w:left w:w="480" w:type="dxa"/>
              <w:bottom w:w="72" w:type="dxa"/>
              <w:right w:w="144" w:type="dxa"/>
            </w:tcMar>
            <w:hideMark/>
          </w:tcPr>
          <w:p w14:paraId="32715A57" w14:textId="77777777" w:rsidR="00813F69" w:rsidRPr="00813F69" w:rsidRDefault="00813F69" w:rsidP="00813F69">
            <w:r w:rsidRPr="00813F69">
              <w:t>MRI findings:</w:t>
            </w:r>
          </w:p>
        </w:tc>
      </w:tr>
      <w:tr w:rsidR="00813F69" w:rsidRPr="00813F69" w14:paraId="78D6FF7E" w14:textId="77777777">
        <w:tc>
          <w:tcPr>
            <w:tcW w:w="0" w:type="auto"/>
            <w:tcBorders>
              <w:top w:val="single" w:sz="6" w:space="0" w:color="42484A"/>
              <w:left w:val="single" w:sz="6" w:space="0" w:color="42484A"/>
              <w:bottom w:val="single" w:sz="6" w:space="0" w:color="42484A"/>
              <w:right w:val="single" w:sz="6" w:space="0" w:color="42484A"/>
            </w:tcBorders>
            <w:tcMar>
              <w:top w:w="72" w:type="dxa"/>
              <w:left w:w="840" w:type="dxa"/>
              <w:bottom w:w="72" w:type="dxa"/>
              <w:right w:w="144" w:type="dxa"/>
            </w:tcMar>
            <w:hideMark/>
          </w:tcPr>
          <w:p w14:paraId="38283070" w14:textId="77777777" w:rsidR="00813F69" w:rsidRPr="00813F69" w:rsidRDefault="00813F69" w:rsidP="00813F69">
            <w:pPr>
              <w:numPr>
                <w:ilvl w:val="0"/>
                <w:numId w:val="4"/>
              </w:numPr>
            </w:pPr>
            <w:r w:rsidRPr="00813F69">
              <w:t>Marked white matter disease</w:t>
            </w:r>
          </w:p>
        </w:tc>
      </w:tr>
      <w:tr w:rsidR="00813F69" w:rsidRPr="00813F69" w14:paraId="0B3BB3A5" w14:textId="77777777">
        <w:tc>
          <w:tcPr>
            <w:tcW w:w="0" w:type="auto"/>
            <w:tcBorders>
              <w:top w:val="single" w:sz="6" w:space="0" w:color="42484A"/>
              <w:left w:val="single" w:sz="6" w:space="0" w:color="42484A"/>
              <w:bottom w:val="single" w:sz="6" w:space="0" w:color="42484A"/>
              <w:right w:val="single" w:sz="6" w:space="0" w:color="42484A"/>
            </w:tcBorders>
            <w:tcMar>
              <w:top w:w="72" w:type="dxa"/>
              <w:left w:w="840" w:type="dxa"/>
              <w:bottom w:w="72" w:type="dxa"/>
              <w:right w:w="144" w:type="dxa"/>
            </w:tcMar>
            <w:hideMark/>
          </w:tcPr>
          <w:p w14:paraId="6B147790" w14:textId="77777777" w:rsidR="00813F69" w:rsidRPr="00813F69" w:rsidRDefault="00813F69" w:rsidP="00813F69">
            <w:pPr>
              <w:numPr>
                <w:ilvl w:val="0"/>
                <w:numId w:val="5"/>
              </w:numPr>
            </w:pPr>
            <w:r w:rsidRPr="00813F69">
              <w:t>Diffuse sulcal enlargement</w:t>
            </w:r>
          </w:p>
        </w:tc>
      </w:tr>
      <w:tr w:rsidR="00813F69" w:rsidRPr="00813F69" w14:paraId="792BF00E" w14:textId="77777777">
        <w:tc>
          <w:tcPr>
            <w:tcW w:w="0" w:type="auto"/>
            <w:tcBorders>
              <w:top w:val="single" w:sz="6" w:space="0" w:color="42484A"/>
              <w:left w:val="single" w:sz="6" w:space="0" w:color="42484A"/>
              <w:bottom w:val="single" w:sz="6" w:space="0" w:color="42484A"/>
              <w:right w:val="single" w:sz="6" w:space="0" w:color="42484A"/>
            </w:tcBorders>
            <w:tcMar>
              <w:top w:w="72" w:type="dxa"/>
              <w:left w:w="840" w:type="dxa"/>
              <w:bottom w:w="72" w:type="dxa"/>
              <w:right w:w="144" w:type="dxa"/>
            </w:tcMar>
            <w:hideMark/>
          </w:tcPr>
          <w:p w14:paraId="0C677CD0" w14:textId="77777777" w:rsidR="00813F69" w:rsidRPr="00813F69" w:rsidRDefault="00813F69" w:rsidP="00813F69">
            <w:pPr>
              <w:numPr>
                <w:ilvl w:val="0"/>
                <w:numId w:val="6"/>
              </w:numPr>
            </w:pPr>
            <w:r w:rsidRPr="00813F69">
              <w:t>Medial temporal atrophy</w:t>
            </w:r>
          </w:p>
        </w:tc>
      </w:tr>
    </w:tbl>
    <w:p w14:paraId="25A547A4" w14:textId="77777777" w:rsidR="00813F69" w:rsidRPr="00813F69" w:rsidRDefault="00813F69" w:rsidP="00813F69">
      <w:r w:rsidRPr="00813F69">
        <w:t xml:space="preserve">NPH: normal pressure hydrocephalus; CSF: cerebrospinal fluid; MRI: magnetic </w:t>
      </w:r>
      <w:r w:rsidRPr="00813F69">
        <w:lastRenderedPageBreak/>
        <w:t>resonance imaging.</w:t>
      </w:r>
      <w:r w:rsidRPr="00813F69">
        <w:br/>
        <w:t>* Any one factor is not decisive in selecting patients for surgery.</w:t>
      </w:r>
    </w:p>
    <w:p w14:paraId="6FFC0D62" w14:textId="7A3E23EA" w:rsidR="00813F69" w:rsidRDefault="00813F69">
      <w:r>
        <w:rPr>
          <w:rFonts w:hint="eastAsia"/>
        </w:rPr>
        <w:t>@1</w:t>
      </w:r>
    </w:p>
    <w:p w14:paraId="13085018" w14:textId="77777777" w:rsidR="00813F69" w:rsidRDefault="00813F69"/>
    <w:p w14:paraId="1EC7E862" w14:textId="3B27E9E9" w:rsidR="00813F69" w:rsidRDefault="001E0A95">
      <w:r>
        <w:rPr>
          <w:rFonts w:hint="eastAsia"/>
        </w:rPr>
        <w:t>@2</w:t>
      </w:r>
    </w:p>
    <w:p w14:paraId="2A67EE50" w14:textId="30913BEC" w:rsidR="001E0A95" w:rsidRDefault="001E0A95">
      <w:r w:rsidRPr="001E0A95">
        <w:rPr>
          <w:b/>
          <w:bCs/>
        </w:rPr>
        <w:t>High-volume lumbar puncture</w:t>
      </w:r>
      <w:r w:rsidRPr="001E0A95">
        <w:t> — The simplest test can be done as an office procedure. Using lumbar puncture, 30 to 50 mL of cerebrospinal fluid (CSF) is removed, with documentation of the patient's gait function before and within 30 to 60 minutes after the procedure.</w:t>
      </w:r>
    </w:p>
    <w:p w14:paraId="58801BF5" w14:textId="4A0818CF" w:rsidR="001E0A95" w:rsidRDefault="001E0A95">
      <w:r w:rsidRPr="001E0A95">
        <w:t>Common parameters measured before and after CSF removal include measures of gait speed, stride length, and number of steps it takes to turn 180 or 360 degrees. </w:t>
      </w:r>
    </w:p>
    <w:p w14:paraId="4FDEAEE5" w14:textId="1CBF9DD0" w:rsidR="001E0A95" w:rsidRDefault="001E0A95">
      <w:r w:rsidRPr="001E0A95">
        <w:t>Most studies suggest that this test has excellent positive predictive value (90 to 100 percent) but limited negative predictive value (30 to 50 percent), with a number of patients who show no response to removal of CSF but later improve with surgery</w:t>
      </w:r>
      <w:r>
        <w:tab/>
      </w:r>
    </w:p>
    <w:p w14:paraId="682340C2" w14:textId="305992AB" w:rsidR="001E0A95" w:rsidRDefault="001E0A95">
      <w:r w:rsidRPr="001E0A95">
        <w:t>Meningitis and subdural hematoma are potential serious complications of both high-volume lumbar puncture and ELD, particularly the latter. These are, in general, rare, but they occurred in 2 of 38 patients in one series</w:t>
      </w:r>
    </w:p>
    <w:p w14:paraId="33E03ECC" w14:textId="663E9869" w:rsidR="001E0A95" w:rsidRDefault="001E0A95">
      <w:r w:rsidRPr="001E0A95">
        <w:t xml:space="preserve">CSF biomarkers for AD include low CSF Aβ42 and high phospho-tau levels. Unfortunately, these biomarkers cannot be used to discriminate those with NPH and comorbid AD from those with NPH without AD. The reason is that NPH itself, as well as shunting, may alter biomarker levels. The typical CSF findings in a </w:t>
      </w:r>
      <w:proofErr w:type="spellStart"/>
      <w:r w:rsidRPr="001E0A95">
        <w:t>preshunt</w:t>
      </w:r>
      <w:proofErr w:type="spellEnd"/>
      <w:r w:rsidRPr="001E0A95">
        <w:t xml:space="preserve"> NPH patient are low Aβ42 and low phospho-tau. After shunting, levels of both proteins typically increase.</w:t>
      </w:r>
    </w:p>
    <w:p w14:paraId="1CAA9933" w14:textId="121794A9" w:rsidR="001E0A95" w:rsidRDefault="001E0A95">
      <w:r>
        <w:rPr>
          <w:rFonts w:hint="eastAsia"/>
        </w:rPr>
        <w:t>@2</w:t>
      </w:r>
    </w:p>
    <w:p w14:paraId="25A3DEF2" w14:textId="77777777" w:rsidR="001E0A95" w:rsidRDefault="001E0A95"/>
    <w:p w14:paraId="6C49C98C" w14:textId="051ED0C9" w:rsidR="001E0A95" w:rsidRDefault="001F785E">
      <w:r>
        <w:rPr>
          <w:rFonts w:hint="eastAsia"/>
        </w:rPr>
        <w:t>@3</w:t>
      </w:r>
    </w:p>
    <w:p w14:paraId="7F6DB5E4" w14:textId="77777777" w:rsidR="00EC7506" w:rsidRPr="001F785E" w:rsidRDefault="001F785E" w:rsidP="001F785E">
      <w:r w:rsidRPr="001F785E">
        <w:t>The </w:t>
      </w:r>
      <w:r w:rsidRPr="001F785E">
        <w:rPr>
          <w:b/>
          <w:bCs/>
        </w:rPr>
        <w:t>HFA-ICOS score</w:t>
      </w:r>
      <w:r w:rsidRPr="001F785E">
        <w:t> is a </w:t>
      </w:r>
      <w:r w:rsidRPr="001F785E">
        <w:rPr>
          <w:b/>
          <w:bCs/>
        </w:rPr>
        <w:t>cardiovascular risk stratification tool</w:t>
      </w:r>
      <w:r w:rsidRPr="001F785E">
        <w:t xml:space="preserve"> developed by </w:t>
      </w:r>
    </w:p>
    <w:tbl>
      <w:tblPr>
        <w:tblpPr w:leftFromText="180" w:rightFromText="180" w:vertAnchor="text" w:horzAnchor="margin" w:tblpXSpec="center" w:tblpY="-1034"/>
        <w:tblW w:w="115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32"/>
        <w:gridCol w:w="2318"/>
        <w:gridCol w:w="1670"/>
      </w:tblGrid>
      <w:tr w:rsidR="00EC7506" w:rsidRPr="001F785E" w14:paraId="0EC2ABF2" w14:textId="77777777" w:rsidTr="00EC7506">
        <w:trPr>
          <w:tblHeader/>
        </w:trPr>
        <w:tc>
          <w:tcPr>
            <w:tcW w:w="0" w:type="auto"/>
            <w:tcBorders>
              <w:top w:val="single" w:sz="2" w:space="0" w:color="5A5958"/>
              <w:left w:val="single" w:sz="2" w:space="0" w:color="5A5958"/>
              <w:bottom w:val="single" w:sz="6" w:space="0" w:color="5A5958"/>
              <w:right w:val="single" w:sz="2" w:space="0" w:color="5A5958"/>
            </w:tcBorders>
            <w:shd w:val="clear" w:color="auto" w:fill="343232"/>
            <w:tcMar>
              <w:top w:w="120" w:type="dxa"/>
              <w:left w:w="180" w:type="dxa"/>
              <w:bottom w:w="120" w:type="dxa"/>
              <w:right w:w="180" w:type="dxa"/>
            </w:tcMar>
            <w:vAlign w:val="bottom"/>
            <w:hideMark/>
          </w:tcPr>
          <w:p w14:paraId="2EE7D5EE" w14:textId="77777777" w:rsidR="00EC7506" w:rsidRPr="001F785E" w:rsidRDefault="00EC7506" w:rsidP="00EC7506">
            <w:pPr>
              <w:rPr>
                <w:b/>
                <w:bCs/>
              </w:rPr>
            </w:pPr>
            <w:r w:rsidRPr="001F785E">
              <w:rPr>
                <w:b/>
                <w:bCs/>
              </w:rPr>
              <w:lastRenderedPageBreak/>
              <w:t>Risk Factor</w:t>
            </w:r>
          </w:p>
        </w:tc>
        <w:tc>
          <w:tcPr>
            <w:tcW w:w="0" w:type="auto"/>
            <w:tcBorders>
              <w:top w:val="single" w:sz="2" w:space="0" w:color="5A5958"/>
              <w:left w:val="single" w:sz="2" w:space="0" w:color="5A5958"/>
              <w:bottom w:val="single" w:sz="6" w:space="0" w:color="5A5958"/>
              <w:right w:val="single" w:sz="2" w:space="0" w:color="5A5958"/>
            </w:tcBorders>
            <w:shd w:val="clear" w:color="auto" w:fill="343232"/>
            <w:tcMar>
              <w:top w:w="120" w:type="dxa"/>
              <w:left w:w="180" w:type="dxa"/>
              <w:bottom w:w="120" w:type="dxa"/>
              <w:right w:w="180" w:type="dxa"/>
            </w:tcMar>
            <w:vAlign w:val="bottom"/>
            <w:hideMark/>
          </w:tcPr>
          <w:p w14:paraId="0F06C6BC" w14:textId="77777777" w:rsidR="00EC7506" w:rsidRPr="001F785E" w:rsidRDefault="00EC7506" w:rsidP="00EC7506">
            <w:pPr>
              <w:rPr>
                <w:b/>
                <w:bCs/>
              </w:rPr>
            </w:pPr>
            <w:r w:rsidRPr="001F785E">
              <w:rPr>
                <w:b/>
                <w:bCs/>
              </w:rPr>
              <w:t>Risk Level</w:t>
            </w:r>
          </w:p>
        </w:tc>
        <w:tc>
          <w:tcPr>
            <w:tcW w:w="0" w:type="auto"/>
            <w:tcBorders>
              <w:top w:val="single" w:sz="2" w:space="0" w:color="5A5958"/>
              <w:left w:val="single" w:sz="2" w:space="0" w:color="5A5958"/>
              <w:bottom w:val="single" w:sz="6" w:space="0" w:color="5A5958"/>
              <w:right w:val="single" w:sz="2" w:space="0" w:color="5A5958"/>
            </w:tcBorders>
            <w:shd w:val="clear" w:color="auto" w:fill="343232"/>
            <w:tcMar>
              <w:top w:w="120" w:type="dxa"/>
              <w:left w:w="180" w:type="dxa"/>
              <w:bottom w:w="120" w:type="dxa"/>
              <w:right w:w="180" w:type="dxa"/>
            </w:tcMar>
            <w:vAlign w:val="bottom"/>
            <w:hideMark/>
          </w:tcPr>
          <w:p w14:paraId="1202C16A" w14:textId="77777777" w:rsidR="00EC7506" w:rsidRPr="001F785E" w:rsidRDefault="00EC7506" w:rsidP="00EC7506">
            <w:pPr>
              <w:rPr>
                <w:b/>
                <w:bCs/>
              </w:rPr>
            </w:pPr>
            <w:r w:rsidRPr="001F785E">
              <w:rPr>
                <w:b/>
                <w:bCs/>
              </w:rPr>
              <w:t>Points</w:t>
            </w:r>
          </w:p>
        </w:tc>
      </w:tr>
      <w:tr w:rsidR="00EC7506" w:rsidRPr="001F785E" w14:paraId="11BCBDC0" w14:textId="77777777" w:rsidTr="00EC7506">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5D4B0B60" w14:textId="77777777" w:rsidR="00EC7506" w:rsidRPr="001F785E" w:rsidRDefault="00EC7506" w:rsidP="00EC7506">
            <w:r w:rsidRPr="001F785E">
              <w:t>Heart failure or cardiomyopathy</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23003F03" w14:textId="77777777" w:rsidR="00EC7506" w:rsidRPr="001F785E" w:rsidRDefault="00EC7506" w:rsidP="00EC7506">
            <w:r w:rsidRPr="001F785E">
              <w:t>Very high</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5B7E2776" w14:textId="77777777" w:rsidR="00EC7506" w:rsidRPr="001F785E" w:rsidRDefault="00EC7506" w:rsidP="00EC7506">
            <w:r w:rsidRPr="001F785E">
              <w:t>—</w:t>
            </w:r>
          </w:p>
        </w:tc>
      </w:tr>
      <w:tr w:rsidR="00EC7506" w:rsidRPr="001F785E" w14:paraId="490193EA" w14:textId="77777777" w:rsidTr="00EC7506">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10C82719" w14:textId="77777777" w:rsidR="00EC7506" w:rsidRPr="001F785E" w:rsidRDefault="00EC7506" w:rsidP="00EC7506">
            <w:r w:rsidRPr="001F785E">
              <w:t>Severe valvular disease</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6990B455" w14:textId="77777777" w:rsidR="00EC7506" w:rsidRPr="001F785E" w:rsidRDefault="00EC7506" w:rsidP="00EC7506">
            <w:r w:rsidRPr="001F785E">
              <w:t>High</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6F63214E" w14:textId="77777777" w:rsidR="00EC7506" w:rsidRPr="001F785E" w:rsidRDefault="00EC7506" w:rsidP="00EC7506">
            <w:r w:rsidRPr="001F785E">
              <w:t>—</w:t>
            </w:r>
          </w:p>
        </w:tc>
      </w:tr>
      <w:tr w:rsidR="00EC7506" w:rsidRPr="001F785E" w14:paraId="76321A5D" w14:textId="77777777" w:rsidTr="00EC7506">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5C94451C" w14:textId="77777777" w:rsidR="00EC7506" w:rsidRPr="001F785E" w:rsidRDefault="00EC7506" w:rsidP="00EC7506">
            <w:r w:rsidRPr="001F785E">
              <w:t>Prior MI or coronary revascularization</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3F2C197D" w14:textId="77777777" w:rsidR="00EC7506" w:rsidRPr="001F785E" w:rsidRDefault="00EC7506" w:rsidP="00EC7506">
            <w:r w:rsidRPr="001F785E">
              <w:t>High</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19DAB3D8" w14:textId="77777777" w:rsidR="00EC7506" w:rsidRPr="001F785E" w:rsidRDefault="00EC7506" w:rsidP="00EC7506">
            <w:r w:rsidRPr="001F785E">
              <w:t>—</w:t>
            </w:r>
          </w:p>
        </w:tc>
      </w:tr>
      <w:tr w:rsidR="00EC7506" w:rsidRPr="001F785E" w14:paraId="7ABD500A" w14:textId="77777777" w:rsidTr="00EC7506">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7B2A6B20" w14:textId="77777777" w:rsidR="00EC7506" w:rsidRPr="001F785E" w:rsidRDefault="00EC7506" w:rsidP="00EC7506">
            <w:r w:rsidRPr="001F785E">
              <w:t>Stable angina</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255CA8E2" w14:textId="77777777" w:rsidR="00EC7506" w:rsidRPr="001F785E" w:rsidRDefault="00EC7506" w:rsidP="00EC7506">
            <w:r w:rsidRPr="001F785E">
              <w:t>High</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6EC79C1F" w14:textId="77777777" w:rsidR="00EC7506" w:rsidRPr="001F785E" w:rsidRDefault="00EC7506" w:rsidP="00EC7506">
            <w:r w:rsidRPr="001F785E">
              <w:t>—</w:t>
            </w:r>
          </w:p>
        </w:tc>
      </w:tr>
      <w:tr w:rsidR="00EC7506" w:rsidRPr="001F785E" w14:paraId="03611FBC" w14:textId="77777777" w:rsidTr="00EC7506">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4BB4765C" w14:textId="77777777" w:rsidR="00EC7506" w:rsidRPr="001F785E" w:rsidRDefault="00EC7506" w:rsidP="00EC7506">
            <w:r w:rsidRPr="001F785E">
              <w:t>LVEF 50%</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652D8275" w14:textId="77777777" w:rsidR="00EC7506" w:rsidRPr="001F785E" w:rsidRDefault="00EC7506" w:rsidP="00EC7506">
            <w:r w:rsidRPr="001F785E">
              <w:t>High</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1DF2B6F2" w14:textId="77777777" w:rsidR="00EC7506" w:rsidRPr="001F785E" w:rsidRDefault="00EC7506" w:rsidP="00EC7506">
            <w:r w:rsidRPr="001F785E">
              <w:t>—</w:t>
            </w:r>
          </w:p>
        </w:tc>
      </w:tr>
      <w:tr w:rsidR="00EC7506" w:rsidRPr="001F785E" w14:paraId="43661A43" w14:textId="77777777" w:rsidTr="00EC7506">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400B1D27" w14:textId="77777777" w:rsidR="00EC7506" w:rsidRPr="001F785E" w:rsidRDefault="00EC7506" w:rsidP="00EC7506">
            <w:r w:rsidRPr="001F785E">
              <w:t>Age ≥80 years</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056A414E" w14:textId="77777777" w:rsidR="00EC7506" w:rsidRPr="001F785E" w:rsidRDefault="00EC7506" w:rsidP="00EC7506">
            <w:r w:rsidRPr="001F785E">
              <w:t>High</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58580289" w14:textId="77777777" w:rsidR="00EC7506" w:rsidRPr="001F785E" w:rsidRDefault="00EC7506" w:rsidP="00EC7506">
            <w:r w:rsidRPr="001F785E">
              <w:t>—</w:t>
            </w:r>
          </w:p>
        </w:tc>
      </w:tr>
      <w:tr w:rsidR="00EC7506" w:rsidRPr="001F785E" w14:paraId="25FD786B" w14:textId="77777777" w:rsidTr="00EC7506">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3F0A43AC" w14:textId="77777777" w:rsidR="00EC7506" w:rsidRPr="001F785E" w:rsidRDefault="00EC7506" w:rsidP="00EC7506">
            <w:r w:rsidRPr="001F785E">
              <w:t>Prior anthracycline exposure</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07D2F454" w14:textId="77777777" w:rsidR="00EC7506" w:rsidRPr="001F785E" w:rsidRDefault="00EC7506" w:rsidP="00EC7506">
            <w:r w:rsidRPr="001F785E">
              <w:t>High</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42F401FF" w14:textId="77777777" w:rsidR="00EC7506" w:rsidRPr="001F785E" w:rsidRDefault="00EC7506" w:rsidP="00EC7506">
            <w:r w:rsidRPr="001F785E">
              <w:t>—</w:t>
            </w:r>
          </w:p>
        </w:tc>
      </w:tr>
      <w:tr w:rsidR="00EC7506" w:rsidRPr="001F785E" w14:paraId="3F41992C" w14:textId="77777777" w:rsidTr="00EC7506">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0801601D" w14:textId="77777777" w:rsidR="00EC7506" w:rsidRPr="001F785E" w:rsidRDefault="00EC7506" w:rsidP="00EC7506">
            <w:r w:rsidRPr="001F785E">
              <w:t>Prior left chest/mediastinal radiotherapy</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37D0F7B3" w14:textId="77777777" w:rsidR="00EC7506" w:rsidRPr="001F785E" w:rsidRDefault="00EC7506" w:rsidP="00EC7506">
            <w:r w:rsidRPr="001F785E">
              <w:t>High</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66BB6C96" w14:textId="77777777" w:rsidR="00EC7506" w:rsidRPr="001F785E" w:rsidRDefault="00EC7506" w:rsidP="00EC7506">
            <w:r w:rsidRPr="001F785E">
              <w:t>—</w:t>
            </w:r>
          </w:p>
        </w:tc>
      </w:tr>
      <w:tr w:rsidR="00EC7506" w:rsidRPr="001F785E" w14:paraId="61309CA2" w14:textId="77777777" w:rsidTr="00EC7506">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529E0F4A" w14:textId="77777777" w:rsidR="00EC7506" w:rsidRPr="001F785E" w:rsidRDefault="00EC7506" w:rsidP="00EC7506">
            <w:r w:rsidRPr="001F785E">
              <w:t>LVEF 50-54%</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14BD6FB7" w14:textId="77777777" w:rsidR="00EC7506" w:rsidRPr="001F785E" w:rsidRDefault="00EC7506" w:rsidP="00EC7506">
            <w:r w:rsidRPr="001F785E">
              <w:t>Medium</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42736D30" w14:textId="77777777" w:rsidR="00EC7506" w:rsidRPr="001F785E" w:rsidRDefault="00EC7506" w:rsidP="00EC7506">
            <w:r w:rsidRPr="001F785E">
              <w:t>2</w:t>
            </w:r>
          </w:p>
        </w:tc>
      </w:tr>
      <w:tr w:rsidR="00EC7506" w:rsidRPr="001F785E" w14:paraId="3B6D2E07" w14:textId="77777777" w:rsidTr="00EC7506">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20F5D6A9" w14:textId="77777777" w:rsidR="00EC7506" w:rsidRPr="001F785E" w:rsidRDefault="00EC7506" w:rsidP="00EC7506">
            <w:r w:rsidRPr="001F785E">
              <w:t>Age 65-79 years</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1238C2C7" w14:textId="77777777" w:rsidR="00EC7506" w:rsidRPr="001F785E" w:rsidRDefault="00EC7506" w:rsidP="00EC7506">
            <w:r w:rsidRPr="001F785E">
              <w:t>Medium</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2694F44E" w14:textId="77777777" w:rsidR="00EC7506" w:rsidRPr="001F785E" w:rsidRDefault="00EC7506" w:rsidP="00EC7506">
            <w:r w:rsidRPr="001F785E">
              <w:t>2</w:t>
            </w:r>
          </w:p>
        </w:tc>
      </w:tr>
      <w:tr w:rsidR="00EC7506" w:rsidRPr="001F785E" w14:paraId="18E96DB3" w14:textId="77777777" w:rsidTr="00EC7506">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668B8647" w14:textId="77777777" w:rsidR="00EC7506" w:rsidRPr="001F785E" w:rsidRDefault="00EC7506" w:rsidP="00EC7506">
            <w:r w:rsidRPr="001F785E">
              <w:t>Elevated baseline troponin</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11AB336D" w14:textId="77777777" w:rsidR="00EC7506" w:rsidRPr="001F785E" w:rsidRDefault="00EC7506" w:rsidP="00EC7506">
            <w:r w:rsidRPr="001F785E">
              <w:t>Medium</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6FE0AA12" w14:textId="77777777" w:rsidR="00EC7506" w:rsidRPr="001F785E" w:rsidRDefault="00EC7506" w:rsidP="00EC7506">
            <w:r w:rsidRPr="001F785E">
              <w:t>1</w:t>
            </w:r>
          </w:p>
        </w:tc>
      </w:tr>
      <w:tr w:rsidR="00EC7506" w:rsidRPr="001F785E" w14:paraId="3FE24B55" w14:textId="77777777" w:rsidTr="00EC7506">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4E223AED" w14:textId="77777777" w:rsidR="00EC7506" w:rsidRPr="001F785E" w:rsidRDefault="00EC7506" w:rsidP="00EC7506">
            <w:r w:rsidRPr="001F785E">
              <w:t>Elevated baseline BNP/NT-</w:t>
            </w:r>
            <w:proofErr w:type="spellStart"/>
            <w:r w:rsidRPr="001F785E">
              <w:t>proBNP</w:t>
            </w:r>
            <w:proofErr w:type="spellEnd"/>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123B7A34" w14:textId="77777777" w:rsidR="00EC7506" w:rsidRPr="001F785E" w:rsidRDefault="00EC7506" w:rsidP="00EC7506">
            <w:r w:rsidRPr="001F785E">
              <w:t>Medium</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0ECBEA25" w14:textId="77777777" w:rsidR="00EC7506" w:rsidRPr="001F785E" w:rsidRDefault="00EC7506" w:rsidP="00EC7506">
            <w:r w:rsidRPr="001F785E">
              <w:t>1</w:t>
            </w:r>
          </w:p>
        </w:tc>
      </w:tr>
      <w:tr w:rsidR="00EC7506" w:rsidRPr="001F785E" w14:paraId="045ECBEC" w14:textId="77777777" w:rsidTr="00EC7506">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6770D711" w14:textId="77777777" w:rsidR="00EC7506" w:rsidRPr="001F785E" w:rsidRDefault="00EC7506" w:rsidP="00EC7506">
            <w:r w:rsidRPr="001F785E">
              <w:t>Hypertension</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6EF7832F" w14:textId="77777777" w:rsidR="00EC7506" w:rsidRPr="001F785E" w:rsidRDefault="00EC7506" w:rsidP="00EC7506">
            <w:r w:rsidRPr="001F785E">
              <w:t>Medium</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2870A460" w14:textId="77777777" w:rsidR="00EC7506" w:rsidRPr="001F785E" w:rsidRDefault="00EC7506" w:rsidP="00EC7506">
            <w:r w:rsidRPr="001F785E">
              <w:t>1</w:t>
            </w:r>
          </w:p>
        </w:tc>
      </w:tr>
      <w:tr w:rsidR="00EC7506" w:rsidRPr="001F785E" w14:paraId="49E07D7C" w14:textId="77777777" w:rsidTr="00EC7506">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43C1D66E" w14:textId="77777777" w:rsidR="00EC7506" w:rsidRPr="001F785E" w:rsidRDefault="00EC7506" w:rsidP="00EC7506">
            <w:r w:rsidRPr="001F785E">
              <w:t>Diabetes mellitus</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7E4C0E8D" w14:textId="77777777" w:rsidR="00EC7506" w:rsidRPr="001F785E" w:rsidRDefault="00EC7506" w:rsidP="00EC7506">
            <w:r w:rsidRPr="001F785E">
              <w:t>Medium</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46D73A32" w14:textId="77777777" w:rsidR="00EC7506" w:rsidRPr="001F785E" w:rsidRDefault="00EC7506" w:rsidP="00EC7506">
            <w:r w:rsidRPr="001F785E">
              <w:t>1</w:t>
            </w:r>
          </w:p>
        </w:tc>
      </w:tr>
      <w:tr w:rsidR="00EC7506" w:rsidRPr="001F785E" w14:paraId="4F2BFC74" w14:textId="77777777" w:rsidTr="00EC7506">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443AD869" w14:textId="77777777" w:rsidR="00EC7506" w:rsidRPr="001F785E" w:rsidRDefault="00EC7506" w:rsidP="00EC7506">
            <w:r w:rsidRPr="001F785E">
              <w:t>Chronic kidney disease (eGFR 60)</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208D103C" w14:textId="77777777" w:rsidR="00EC7506" w:rsidRPr="001F785E" w:rsidRDefault="00EC7506" w:rsidP="00EC7506">
            <w:r w:rsidRPr="001F785E">
              <w:t>Medium</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5EB48A56" w14:textId="77777777" w:rsidR="00EC7506" w:rsidRPr="001F785E" w:rsidRDefault="00EC7506" w:rsidP="00EC7506">
            <w:r w:rsidRPr="001F785E">
              <w:t>1</w:t>
            </w:r>
          </w:p>
        </w:tc>
      </w:tr>
      <w:tr w:rsidR="00EC7506" w:rsidRPr="001F785E" w14:paraId="7550AA7C" w14:textId="77777777" w:rsidTr="00EC7506">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6580C79A" w14:textId="77777777" w:rsidR="00EC7506" w:rsidRPr="001F785E" w:rsidRDefault="00EC7506" w:rsidP="00EC7506">
            <w:r w:rsidRPr="001F785E">
              <w:t>Previous non-anthracycline chemotherapy</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18765A81" w14:textId="77777777" w:rsidR="00EC7506" w:rsidRPr="001F785E" w:rsidRDefault="00EC7506" w:rsidP="00EC7506">
            <w:r w:rsidRPr="001F785E">
              <w:t>Medium</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0F7ACE7F" w14:textId="77777777" w:rsidR="00EC7506" w:rsidRPr="001F785E" w:rsidRDefault="00EC7506" w:rsidP="00EC7506">
            <w:r w:rsidRPr="001F785E">
              <w:t>1</w:t>
            </w:r>
          </w:p>
        </w:tc>
      </w:tr>
      <w:tr w:rsidR="00EC7506" w:rsidRPr="001F785E" w14:paraId="00F57D2A" w14:textId="77777777" w:rsidTr="00EC7506">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32A95AC6" w14:textId="77777777" w:rsidR="00EC7506" w:rsidRPr="001F785E" w:rsidRDefault="00EC7506" w:rsidP="00EC7506">
            <w:r w:rsidRPr="001F785E">
              <w:t>Current smoker</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260C1DFF" w14:textId="77777777" w:rsidR="00EC7506" w:rsidRPr="001F785E" w:rsidRDefault="00EC7506" w:rsidP="00EC7506">
            <w:r w:rsidRPr="001F785E">
              <w:t>Medium</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39E77EBA" w14:textId="77777777" w:rsidR="00EC7506" w:rsidRPr="001F785E" w:rsidRDefault="00EC7506" w:rsidP="00EC7506">
            <w:r w:rsidRPr="001F785E">
              <w:t>1</w:t>
            </w:r>
          </w:p>
        </w:tc>
      </w:tr>
      <w:tr w:rsidR="00EC7506" w:rsidRPr="001F785E" w14:paraId="63832190" w14:textId="77777777" w:rsidTr="00EC7506">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64CF74B2" w14:textId="77777777" w:rsidR="00EC7506" w:rsidRPr="001F785E" w:rsidRDefault="00EC7506" w:rsidP="00EC7506">
            <w:r w:rsidRPr="001F785E">
              <w:lastRenderedPageBreak/>
              <w:t>Obesity (BMI &gt;30)</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05BCB29A" w14:textId="77777777" w:rsidR="00EC7506" w:rsidRPr="001F785E" w:rsidRDefault="00EC7506" w:rsidP="00EC7506">
            <w:r w:rsidRPr="001F785E">
              <w:t>Medium</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331C6608" w14:textId="77777777" w:rsidR="00EC7506" w:rsidRPr="001F785E" w:rsidRDefault="00EC7506" w:rsidP="00EC7506">
            <w:r w:rsidRPr="001F785E">
              <w:t>1</w:t>
            </w:r>
          </w:p>
        </w:tc>
      </w:tr>
      <w:tr w:rsidR="00EC7506" w:rsidRPr="001F785E" w14:paraId="18AC8C36" w14:textId="77777777" w:rsidTr="00EC7506">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38AB774A" w14:textId="77777777" w:rsidR="00EC7506" w:rsidRPr="001F785E" w:rsidRDefault="00EC7506" w:rsidP="00EC7506">
            <w:r w:rsidRPr="001F785E">
              <w:t>References</w:t>
            </w:r>
          </w:p>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250C33E4" w14:textId="77777777" w:rsidR="00EC7506" w:rsidRPr="001F785E" w:rsidRDefault="00EC7506" w:rsidP="00EC7506"/>
        </w:tc>
        <w:tc>
          <w:tcPr>
            <w:tcW w:w="0" w:type="auto"/>
            <w:tcBorders>
              <w:top w:val="single" w:sz="2" w:space="0" w:color="3D3830"/>
              <w:left w:val="single" w:sz="2" w:space="0" w:color="3D3830"/>
              <w:bottom w:val="single" w:sz="2" w:space="0" w:color="3D3830"/>
              <w:right w:val="single" w:sz="2" w:space="0" w:color="3D3830"/>
            </w:tcBorders>
            <w:tcMar>
              <w:top w:w="120" w:type="dxa"/>
              <w:left w:w="180" w:type="dxa"/>
              <w:bottom w:w="120" w:type="dxa"/>
              <w:right w:w="180" w:type="dxa"/>
            </w:tcMar>
            <w:hideMark/>
          </w:tcPr>
          <w:p w14:paraId="602F7BC8" w14:textId="77777777" w:rsidR="00EC7506" w:rsidRPr="001F785E" w:rsidRDefault="00EC7506" w:rsidP="00EC7506">
            <w:r w:rsidRPr="001F785E">
              <w:t>[1]</w:t>
            </w:r>
          </w:p>
        </w:tc>
      </w:tr>
    </w:tbl>
    <w:p w14:paraId="7C4E6AA2" w14:textId="147FA1C5" w:rsidR="001F785E" w:rsidRPr="001F785E" w:rsidRDefault="001F785E" w:rsidP="001F785E">
      <w:r w:rsidRPr="001F785E">
        <w:t>the Heart Failure Association (HFA) and the International Cardio-Oncology Society (ICOS) to assess </w:t>
      </w:r>
      <w:r w:rsidRPr="001F785E">
        <w:rPr>
          <w:b/>
          <w:bCs/>
        </w:rPr>
        <w:t>baseline cardiotoxicity risk in cancer patients before starting anthracycline chemotherapy</w:t>
      </w:r>
      <w:r w:rsidRPr="001F785E">
        <w:t>. [1]</w:t>
      </w:r>
    </w:p>
    <w:p w14:paraId="675DBD10" w14:textId="77777777" w:rsidR="001F785E" w:rsidRPr="001F785E" w:rsidRDefault="001F785E" w:rsidP="001F785E">
      <w:r w:rsidRPr="001F785E">
        <w:rPr>
          <w:b/>
          <w:bCs/>
        </w:rPr>
        <w:t>Risk Categories:</w:t>
      </w:r>
    </w:p>
    <w:p w14:paraId="122B0487" w14:textId="77777777" w:rsidR="001F785E" w:rsidRPr="001F785E" w:rsidRDefault="001F785E" w:rsidP="001F785E">
      <w:r w:rsidRPr="001F785E">
        <w:t>The score classifies patients into four risk levels based on the presence of specific cardiovascular risk factors:</w:t>
      </w:r>
    </w:p>
    <w:p w14:paraId="1759703C" w14:textId="77777777" w:rsidR="001F785E" w:rsidRPr="001F785E" w:rsidRDefault="001F785E" w:rsidP="001F785E">
      <w:pPr>
        <w:numPr>
          <w:ilvl w:val="0"/>
          <w:numId w:val="7"/>
        </w:numPr>
      </w:pPr>
      <w:r w:rsidRPr="001F785E">
        <w:rPr>
          <w:b/>
          <w:bCs/>
        </w:rPr>
        <w:t>Very high risk</w:t>
      </w:r>
      <w:r w:rsidRPr="001F785E">
        <w:t>: Presence of any very high-risk factor (e.g., prior heart failure or cardiomyopathy)</w:t>
      </w:r>
    </w:p>
    <w:p w14:paraId="5D336252" w14:textId="77777777" w:rsidR="001F785E" w:rsidRPr="001F785E" w:rsidRDefault="001F785E" w:rsidP="001F785E">
      <w:pPr>
        <w:numPr>
          <w:ilvl w:val="0"/>
          <w:numId w:val="7"/>
        </w:numPr>
      </w:pPr>
      <w:r w:rsidRPr="001F785E">
        <w:rPr>
          <w:b/>
          <w:bCs/>
        </w:rPr>
        <w:t>High risk</w:t>
      </w:r>
      <w:r w:rsidRPr="001F785E">
        <w:t>: Presence of any high-risk factor OR ≥5 medium-level points</w:t>
      </w:r>
    </w:p>
    <w:p w14:paraId="174FCA4B" w14:textId="77777777" w:rsidR="001F785E" w:rsidRPr="001F785E" w:rsidRDefault="001F785E" w:rsidP="001F785E">
      <w:pPr>
        <w:numPr>
          <w:ilvl w:val="0"/>
          <w:numId w:val="7"/>
        </w:numPr>
      </w:pPr>
      <w:r w:rsidRPr="001F785E">
        <w:rPr>
          <w:b/>
          <w:bCs/>
        </w:rPr>
        <w:t>Moderate risk</w:t>
      </w:r>
      <w:r w:rsidRPr="001F785E">
        <w:t>: 2-4 medium-level points</w:t>
      </w:r>
    </w:p>
    <w:p w14:paraId="6B10654D" w14:textId="77777777" w:rsidR="001F785E" w:rsidRPr="001F785E" w:rsidRDefault="001F785E" w:rsidP="001F785E">
      <w:pPr>
        <w:numPr>
          <w:ilvl w:val="0"/>
          <w:numId w:val="7"/>
        </w:numPr>
      </w:pPr>
      <w:r w:rsidRPr="001F785E">
        <w:rPr>
          <w:b/>
          <w:bCs/>
        </w:rPr>
        <w:t>Low risk</w:t>
      </w:r>
      <w:r w:rsidRPr="001F785E">
        <w:t>: No risk factors or only 1 medium-level point</w:t>
      </w:r>
    </w:p>
    <w:p w14:paraId="6F0B34CE" w14:textId="77777777" w:rsidR="001F785E" w:rsidRPr="001F785E" w:rsidRDefault="001F785E" w:rsidP="001F785E">
      <w:r w:rsidRPr="001F785E">
        <w:rPr>
          <w:b/>
          <w:bCs/>
        </w:rPr>
        <w:t>Risk Factors and Point Assignment:</w:t>
      </w:r>
    </w:p>
    <w:p w14:paraId="1F530111" w14:textId="77777777" w:rsidR="001F785E" w:rsidRPr="001F785E" w:rsidRDefault="001F785E" w:rsidP="001F785E">
      <w:r w:rsidRPr="001F785E">
        <w:rPr>
          <w:b/>
          <w:bCs/>
        </w:rPr>
        <w:t>Clinical Application:</w:t>
      </w:r>
    </w:p>
    <w:p w14:paraId="4E5CA126" w14:textId="77777777" w:rsidR="001F785E" w:rsidRPr="001F785E" w:rsidRDefault="001F785E" w:rsidP="001F785E">
      <w:r w:rsidRPr="001F785E">
        <w:t>The HFA-ICOS score is used </w:t>
      </w:r>
      <w:r w:rsidRPr="001F785E">
        <w:rPr>
          <w:b/>
          <w:bCs/>
        </w:rPr>
        <w:t>before initiating anthracycline therapy</w:t>
      </w:r>
      <w:r w:rsidRPr="001F785E">
        <w:t> to identify patients who may benefit from enhanced cardiovascular monitoring, preventive cardioprotective strategies, or alternative chemotherapy regimens. A modified version has been validated for predicting cardiovascular complications in cancer patients, demonstrating prognostic utility in cardio-oncology practice. [1]</w:t>
      </w:r>
    </w:p>
    <w:p w14:paraId="4B64963D" w14:textId="77777777" w:rsidR="001F785E" w:rsidRDefault="001F785E"/>
    <w:p w14:paraId="65B7266A" w14:textId="2A411C7C" w:rsidR="004E620B" w:rsidRDefault="004E620B">
      <w:r>
        <w:rPr>
          <w:rFonts w:hint="eastAsia"/>
        </w:rPr>
        <w:t>@4</w:t>
      </w:r>
    </w:p>
    <w:p w14:paraId="43D44BF0" w14:textId="77777777" w:rsidR="004E620B" w:rsidRPr="004E620B" w:rsidRDefault="004E620B" w:rsidP="004E620B">
      <w:r w:rsidRPr="004E620B">
        <w:rPr>
          <w:b/>
          <w:bCs/>
        </w:rPr>
        <w:t>Cancer therapy-related cardiac dysfunction (CTRCD)</w:t>
      </w:r>
      <w:r w:rsidRPr="004E620B">
        <w:t> is defined as </w:t>
      </w:r>
      <w:r w:rsidRPr="004E620B">
        <w:rPr>
          <w:b/>
          <w:bCs/>
        </w:rPr>
        <w:t>cardiac dysfunction or structural injury associated with cancer therapy</w:t>
      </w:r>
      <w:r w:rsidRPr="004E620B">
        <w:t xml:space="preserve">, which can remain asymptomatic or present as symptomatic heart failure. The definition has </w:t>
      </w:r>
      <w:r w:rsidRPr="004E620B">
        <w:lastRenderedPageBreak/>
        <w:t>evolved over time, with multiple professional societies proposing slightly different criteria.</w:t>
      </w:r>
    </w:p>
    <w:p w14:paraId="42720D2E" w14:textId="77777777" w:rsidR="004E620B" w:rsidRPr="004E620B" w:rsidRDefault="004E620B" w:rsidP="004E620B">
      <w:r w:rsidRPr="004E620B">
        <w:rPr>
          <w:b/>
          <w:bCs/>
        </w:rPr>
        <w:t>Most Widely Accepted Definition (Asymptomatic CTRCD):</w:t>
      </w:r>
    </w:p>
    <w:p w14:paraId="2C707321" w14:textId="77777777" w:rsidR="004E620B" w:rsidRPr="004E620B" w:rsidRDefault="004E620B" w:rsidP="004E620B">
      <w:r w:rsidRPr="004E620B">
        <w:t>The most commonly used definition for asymptomatic CTRCD is an </w:t>
      </w:r>
      <w:r w:rsidRPr="004E620B">
        <w:rPr>
          <w:b/>
          <w:bCs/>
        </w:rPr>
        <w:t>absolute decrease in LVEF &gt;10 percentage points to a value &lt;53%</w:t>
      </w:r>
      <w:r w:rsidRPr="004E620B">
        <w:t> (or &lt;50% in some definitions). [1] However, definitions vary across organizations and studies.</w:t>
      </w:r>
    </w:p>
    <w:p w14:paraId="70FD9586" w14:textId="77777777" w:rsidR="004E620B" w:rsidRPr="004E620B" w:rsidRDefault="004E620B" w:rsidP="004E620B">
      <w:r w:rsidRPr="004E620B">
        <w:rPr>
          <w:b/>
          <w:bCs/>
        </w:rPr>
        <w:t>American College of Cardiology Cardio-Oncology and Imaging Councils Definition:</w:t>
      </w:r>
    </w:p>
    <w:p w14:paraId="4B5E1C08" w14:textId="77777777" w:rsidR="004E620B" w:rsidRPr="004E620B" w:rsidRDefault="004E620B" w:rsidP="004E620B">
      <w:r w:rsidRPr="004E620B">
        <w:t>The ACC proposes a two-tier imaging-based classification: [2]</w:t>
      </w:r>
    </w:p>
    <w:p w14:paraId="74663D8A" w14:textId="77777777" w:rsidR="004E620B" w:rsidRPr="004E620B" w:rsidRDefault="004E620B" w:rsidP="004E620B">
      <w:r w:rsidRPr="004E620B">
        <w:rPr>
          <w:b/>
          <w:bCs/>
        </w:rPr>
        <w:t>Definite CTRCD:</w:t>
      </w:r>
    </w:p>
    <w:p w14:paraId="1153C0C9" w14:textId="77777777" w:rsidR="004E620B" w:rsidRPr="004E620B" w:rsidRDefault="004E620B" w:rsidP="004E620B">
      <w:pPr>
        <w:numPr>
          <w:ilvl w:val="0"/>
          <w:numId w:val="8"/>
        </w:numPr>
      </w:pPr>
      <w:r w:rsidRPr="004E620B">
        <w:t>Reduction in LVEF by </w:t>
      </w:r>
      <w:r w:rsidRPr="004E620B">
        <w:rPr>
          <w:b/>
          <w:bCs/>
        </w:rPr>
        <w:t>≥10% to a value &lt;50%</w:t>
      </w:r>
    </w:p>
    <w:p w14:paraId="551796FD" w14:textId="77777777" w:rsidR="004E620B" w:rsidRPr="004E620B" w:rsidRDefault="004E620B" w:rsidP="004E620B">
      <w:pPr>
        <w:numPr>
          <w:ilvl w:val="0"/>
          <w:numId w:val="8"/>
        </w:numPr>
      </w:pPr>
      <w:r w:rsidRPr="004E620B">
        <w:t>Action: Refer to cardiology/cardio-oncology, start cardioprotective medications, consider closer monitoring</w:t>
      </w:r>
    </w:p>
    <w:p w14:paraId="05085C0E" w14:textId="77777777" w:rsidR="004E620B" w:rsidRPr="004E620B" w:rsidRDefault="004E620B" w:rsidP="004E620B">
      <w:r w:rsidRPr="004E620B">
        <w:rPr>
          <w:b/>
          <w:bCs/>
        </w:rPr>
        <w:t>Possible CTRCD:</w:t>
      </w:r>
    </w:p>
    <w:p w14:paraId="2CC02708" w14:textId="77777777" w:rsidR="004E620B" w:rsidRPr="004E620B" w:rsidRDefault="004E620B" w:rsidP="004E620B">
      <w:pPr>
        <w:numPr>
          <w:ilvl w:val="0"/>
          <w:numId w:val="9"/>
        </w:numPr>
      </w:pPr>
      <w:r w:rsidRPr="004E620B">
        <w:t>Reduction in LVEF by ≥10% to a value of 50-55%, OR</w:t>
      </w:r>
    </w:p>
    <w:p w14:paraId="62A61C3F" w14:textId="77777777" w:rsidR="004E620B" w:rsidRPr="004E620B" w:rsidRDefault="004E620B" w:rsidP="004E620B">
      <w:pPr>
        <w:numPr>
          <w:ilvl w:val="0"/>
          <w:numId w:val="9"/>
        </w:numPr>
      </w:pPr>
      <w:r w:rsidRPr="004E620B">
        <w:t>Reduction in LVEF by &lt;10 percentage points to a value &lt;50%, OR</w:t>
      </w:r>
    </w:p>
    <w:p w14:paraId="19967B86" w14:textId="77777777" w:rsidR="004E620B" w:rsidRPr="004E620B" w:rsidRDefault="004E620B" w:rsidP="004E620B">
      <w:pPr>
        <w:numPr>
          <w:ilvl w:val="0"/>
          <w:numId w:val="9"/>
        </w:numPr>
      </w:pPr>
      <w:r w:rsidRPr="004E620B">
        <w:t>Relative reduction in global longitudinal strain (GLS) of </w:t>
      </w:r>
      <w:r w:rsidRPr="004E620B">
        <w:rPr>
          <w:b/>
          <w:bCs/>
        </w:rPr>
        <w:t>≥15%</w:t>
      </w:r>
      <w:r w:rsidRPr="004E620B">
        <w:t> without significant reduction in LVEF</w:t>
      </w:r>
    </w:p>
    <w:p w14:paraId="3D0D86F7" w14:textId="77777777" w:rsidR="004E620B" w:rsidRPr="004E620B" w:rsidRDefault="004E620B" w:rsidP="004E620B">
      <w:pPr>
        <w:numPr>
          <w:ilvl w:val="0"/>
          <w:numId w:val="9"/>
        </w:numPr>
      </w:pPr>
      <w:r w:rsidRPr="004E620B">
        <w:t>Action: Refer to cardiology/cardio-oncology, consider cardioprotective medications and closer monitoring</w:t>
      </w:r>
    </w:p>
    <w:p w14:paraId="4AFF8FEA" w14:textId="77777777" w:rsidR="004E620B" w:rsidRPr="004E620B" w:rsidRDefault="004E620B" w:rsidP="004E620B">
      <w:r w:rsidRPr="004E620B">
        <w:rPr>
          <w:b/>
          <w:bCs/>
        </w:rPr>
        <w:t>Symptomatic CTRCD (Heart Failure):</w:t>
      </w:r>
    </w:p>
    <w:p w14:paraId="4940EA36" w14:textId="77777777" w:rsidR="004E620B" w:rsidRPr="004E620B" w:rsidRDefault="004E620B" w:rsidP="004E620B">
      <w:r w:rsidRPr="004E620B">
        <w:t>Symptomatic heart failure should follow contemporary heart failure guidelines: clinical syndrome with symptoms or signs caused by structural or functional cardiac abnormality, corroborated by </w:t>
      </w:r>
      <w:r w:rsidRPr="004E620B">
        <w:rPr>
          <w:b/>
          <w:bCs/>
        </w:rPr>
        <w:t>elevated natriuretic peptide levels</w:t>
      </w:r>
      <w:r w:rsidRPr="004E620B">
        <w:t> or objective evidence of pulmonary or systemic congestion. [1]</w:t>
      </w:r>
    </w:p>
    <w:p w14:paraId="5A65EA2A" w14:textId="77777777" w:rsidR="004E620B" w:rsidRPr="004E620B" w:rsidRDefault="004E620B" w:rsidP="004E620B">
      <w:r w:rsidRPr="004E620B">
        <w:rPr>
          <w:b/>
          <w:bCs/>
        </w:rPr>
        <w:t>Alternative Definitions:</w:t>
      </w:r>
    </w:p>
    <w:p w14:paraId="12D53137" w14:textId="77777777" w:rsidR="004E620B" w:rsidRPr="004E620B" w:rsidRDefault="004E620B" w:rsidP="004E620B">
      <w:pPr>
        <w:numPr>
          <w:ilvl w:val="0"/>
          <w:numId w:val="10"/>
        </w:numPr>
      </w:pPr>
      <w:r w:rsidRPr="004E620B">
        <w:rPr>
          <w:b/>
          <w:bCs/>
        </w:rPr>
        <w:t>Older definition</w:t>
      </w:r>
      <w:r w:rsidRPr="004E620B">
        <w:t xml:space="preserve">: LVEF decline ≥5% to &lt;55% with HF symptoms OR </w:t>
      </w:r>
      <w:r w:rsidRPr="004E620B">
        <w:lastRenderedPageBreak/>
        <w:t>asymptomatic decrease of LVEF ≥10% to &lt;55% [3]</w:t>
      </w:r>
    </w:p>
    <w:p w14:paraId="17CDCA4C" w14:textId="77777777" w:rsidR="004E620B" w:rsidRPr="004E620B" w:rsidRDefault="004E620B" w:rsidP="004E620B">
      <w:pPr>
        <w:numPr>
          <w:ilvl w:val="0"/>
          <w:numId w:val="10"/>
        </w:numPr>
      </w:pPr>
      <w:r w:rsidRPr="004E620B">
        <w:rPr>
          <w:b/>
          <w:bCs/>
        </w:rPr>
        <w:t>Strain-based</w:t>
      </w:r>
      <w:r w:rsidRPr="004E620B">
        <w:t>: Relative reduction in GLS of ≥12% from baseline has been used in clinical trials [4]</w:t>
      </w:r>
    </w:p>
    <w:p w14:paraId="4CD68BBE" w14:textId="77777777" w:rsidR="004E620B" w:rsidRPr="004E620B" w:rsidRDefault="004E620B" w:rsidP="004E620B">
      <w:r w:rsidRPr="004E620B">
        <w:rPr>
          <w:b/>
          <w:bCs/>
        </w:rPr>
        <w:t>Measurement Considerations:</w:t>
      </w:r>
    </w:p>
    <w:p w14:paraId="5DBBD276" w14:textId="77777777" w:rsidR="004E620B" w:rsidRPr="004E620B" w:rsidRDefault="004E620B" w:rsidP="004E620B">
      <w:r w:rsidRPr="004E620B">
        <w:t>LVEF should be measured primarily by </w:t>
      </w:r>
      <w:r w:rsidRPr="004E620B">
        <w:rPr>
          <w:b/>
          <w:bCs/>
        </w:rPr>
        <w:t>3D volumetric echocardiography</w:t>
      </w:r>
      <w:r w:rsidRPr="004E620B">
        <w:t>; if unavailable or non-diagnostic, cardiac MRI should be considered. [2] The field is evolving toward a more integrated approach incorporating GLS, cardiac biomarkers (troponin, BNP/NT-</w:t>
      </w:r>
      <w:proofErr w:type="spellStart"/>
      <w:r w:rsidRPr="004E620B">
        <w:t>proBNP</w:t>
      </w:r>
      <w:proofErr w:type="spellEnd"/>
      <w:r w:rsidRPr="004E620B">
        <w:t>), and multimodality imaging rather than relying solely on LVEF.</w:t>
      </w:r>
    </w:p>
    <w:p w14:paraId="3DFBBEB6" w14:textId="77777777" w:rsidR="004E620B" w:rsidRDefault="004E620B"/>
    <w:p w14:paraId="7678F7FB" w14:textId="704D11EC" w:rsidR="006C32BD" w:rsidRDefault="006C32BD">
      <w:r>
        <w:rPr>
          <w:rFonts w:hint="eastAsia"/>
        </w:rPr>
        <w:t>@4</w:t>
      </w:r>
    </w:p>
    <w:p w14:paraId="4662BEAC" w14:textId="77777777" w:rsidR="002A4CD8" w:rsidRDefault="002A4CD8"/>
    <w:p w14:paraId="2243B215" w14:textId="452A0067" w:rsidR="002A4CD8" w:rsidRDefault="002A4CD8">
      <w:r>
        <w:rPr>
          <w:rFonts w:hint="eastAsia"/>
        </w:rPr>
        <w:t>@5</w:t>
      </w:r>
    </w:p>
    <w:p w14:paraId="688EF89A" w14:textId="77777777" w:rsidR="001E59E9" w:rsidRPr="001E59E9" w:rsidRDefault="001E59E9" w:rsidP="001E59E9">
      <w:r w:rsidRPr="001E59E9">
        <w:t>For severe UTI requiring hospitalization or parenteral therapy, third-generation cephalosporins (particularly ceftriaxone 1 g IV) are preferred over amoxicillin-clavulanate based on:</w:t>
      </w:r>
    </w:p>
    <w:p w14:paraId="4FE4161E" w14:textId="77777777" w:rsidR="001E59E9" w:rsidRPr="001E59E9" w:rsidRDefault="001E59E9" w:rsidP="001E59E9">
      <w:pPr>
        <w:numPr>
          <w:ilvl w:val="0"/>
          <w:numId w:val="11"/>
        </w:numPr>
      </w:pPr>
      <w:r w:rsidRPr="001E59E9">
        <w:t>Established efficacy in clinical trials for pyelonephritis [1][5]</w:t>
      </w:r>
    </w:p>
    <w:p w14:paraId="7C31657F" w14:textId="77777777" w:rsidR="001E59E9" w:rsidRPr="001E59E9" w:rsidRDefault="001E59E9" w:rsidP="001E59E9">
      <w:pPr>
        <w:numPr>
          <w:ilvl w:val="0"/>
          <w:numId w:val="11"/>
        </w:numPr>
      </w:pPr>
      <w:r w:rsidRPr="001E59E9">
        <w:t>Superior tissue penetration and urinary concentrations</w:t>
      </w:r>
    </w:p>
    <w:p w14:paraId="0E0FA8DC" w14:textId="77777777" w:rsidR="001E59E9" w:rsidRPr="001E59E9" w:rsidRDefault="001E59E9" w:rsidP="001E59E9">
      <w:pPr>
        <w:numPr>
          <w:ilvl w:val="0"/>
          <w:numId w:val="11"/>
        </w:numPr>
      </w:pPr>
      <w:r w:rsidRPr="001E59E9">
        <w:t>Lower failure rates compared to oral beta-lactams</w:t>
      </w:r>
    </w:p>
    <w:p w14:paraId="09CDACCF" w14:textId="77777777" w:rsidR="001E59E9" w:rsidRPr="001E59E9" w:rsidRDefault="001E59E9" w:rsidP="001E59E9">
      <w:pPr>
        <w:numPr>
          <w:ilvl w:val="0"/>
          <w:numId w:val="11"/>
        </w:numPr>
      </w:pPr>
      <w:r w:rsidRPr="001E59E9">
        <w:t>Convenient once-daily dosing for ceftriaxone</w:t>
      </w:r>
    </w:p>
    <w:p w14:paraId="74DA356A" w14:textId="112FF061" w:rsidR="002A4CD8" w:rsidRDefault="002A4CD8"/>
    <w:p w14:paraId="49A35F08" w14:textId="5B886F45" w:rsidR="008632EE" w:rsidRDefault="00370A76">
      <w:r w:rsidRPr="00370A76">
        <w:t>The KDIGO guideline states that aminoglycosides should no longer be used for standard empirical or directed treatment unless no other suitable alternatives exist, and their use should be restricted to severe infections where they are the best or only therapeutic option.</w:t>
      </w:r>
    </w:p>
    <w:p w14:paraId="0A1381D3" w14:textId="48C84F1C" w:rsidR="00E12216" w:rsidRDefault="00E12216">
      <w:r w:rsidRPr="00E12216">
        <w:t>A large survey of clinical trials from 1975-1982 involving approximately 10,000 patients found amikacin nephrotoxicity occurred in </w:t>
      </w:r>
      <w:r w:rsidRPr="00E12216">
        <w:rPr>
          <w:b/>
          <w:bCs/>
        </w:rPr>
        <w:t>8.7%</w:t>
      </w:r>
      <w:r w:rsidRPr="00E12216">
        <w:t xml:space="preserve"> of cases. [3] Some </w:t>
      </w:r>
      <w:r w:rsidRPr="00E12216">
        <w:lastRenderedPageBreak/>
        <w:t>series report renal dysfunction approaching </w:t>
      </w:r>
      <w:r w:rsidRPr="00E12216">
        <w:rPr>
          <w:b/>
          <w:bCs/>
        </w:rPr>
        <w:t>50%</w:t>
      </w:r>
      <w:r w:rsidRPr="00E12216">
        <w:t>. [3] Aminoglycoside-induced nephrotoxicity is typically reversible when identified early.</w:t>
      </w:r>
    </w:p>
    <w:p w14:paraId="755C9E54" w14:textId="25BE0348" w:rsidR="00FA430F" w:rsidRDefault="00FA430F">
      <w:r w:rsidRPr="00FA430F">
        <w:rPr>
          <w:b/>
          <w:bCs/>
        </w:rPr>
        <w:t>Ototoxicity</w:t>
      </w:r>
      <w:r w:rsidRPr="00FA430F">
        <w:t> occurs in </w:t>
      </w:r>
      <w:r w:rsidRPr="00FA430F">
        <w:rPr>
          <w:b/>
          <w:bCs/>
        </w:rPr>
        <w:t>2-14%</w:t>
      </w:r>
      <w:r w:rsidRPr="00FA430F">
        <w:t> of patients overall, with </w:t>
      </w:r>
      <w:r w:rsidRPr="00FA430F">
        <w:rPr>
          <w:b/>
          <w:bCs/>
        </w:rPr>
        <w:t>2-10%</w:t>
      </w:r>
      <w:r w:rsidRPr="00FA430F">
        <w:t> experiencing cochlear toxicity (hearing loss) and </w:t>
      </w:r>
      <w:r w:rsidRPr="00FA430F">
        <w:rPr>
          <w:b/>
          <w:bCs/>
        </w:rPr>
        <w:t>3-14%</w:t>
      </w:r>
      <w:r w:rsidRPr="00FA430F">
        <w:t> experiencing vestibular toxicity (balance problems). [3] However, some series report significantly higher rates, with hearing impairment exceeding </w:t>
      </w:r>
      <w:r w:rsidRPr="00FA430F">
        <w:rPr>
          <w:b/>
          <w:bCs/>
        </w:rPr>
        <w:t>50%</w:t>
      </w:r>
      <w:r w:rsidRPr="00FA430F">
        <w:t> and vestibular dysfunction as high as </w:t>
      </w:r>
      <w:r w:rsidRPr="00FA430F">
        <w:rPr>
          <w:b/>
          <w:bCs/>
        </w:rPr>
        <w:t>20%</w:t>
      </w:r>
      <w:r w:rsidRPr="00FA430F">
        <w:t>. [3] Unlike nephrotoxicity, ototoxicity may be severe and irreversible, and can progress even after the drug is stopped.</w:t>
      </w:r>
    </w:p>
    <w:p w14:paraId="4E57FB3C" w14:textId="6DF0FAE8" w:rsidR="00FA430F" w:rsidRDefault="00FA430F">
      <w:r>
        <w:rPr>
          <w:rFonts w:hint="eastAsia"/>
        </w:rPr>
        <w:t>@5</w:t>
      </w:r>
    </w:p>
    <w:p w14:paraId="53AB40F8" w14:textId="77777777" w:rsidR="00FA430F" w:rsidRDefault="00FA430F"/>
    <w:p w14:paraId="3A58E4DD" w14:textId="6FCC2D0B" w:rsidR="00BC57F2" w:rsidRDefault="00BC57F2">
      <w:r>
        <w:rPr>
          <w:rFonts w:hint="eastAsia"/>
        </w:rPr>
        <w:t>@6</w:t>
      </w:r>
    </w:p>
    <w:p w14:paraId="0DDEB818" w14:textId="77777777" w:rsidR="00721FEA" w:rsidRPr="00721FEA" w:rsidRDefault="00721FEA" w:rsidP="00721FEA">
      <w:r w:rsidRPr="00721FEA">
        <w:t>The typical dose of </w:t>
      </w:r>
      <w:r w:rsidRPr="00721FEA">
        <w:rPr>
          <w:b/>
          <w:bCs/>
        </w:rPr>
        <w:t>ESWT for plantar fasciitis is 2000 impulses per session, delivered weekly for 3 sessions</w:t>
      </w:r>
      <w:r w:rsidRPr="00721FEA">
        <w:t>, with energy flux density ranging from </w:t>
      </w:r>
      <w:r w:rsidRPr="00721FEA">
        <w:rPr>
          <w:b/>
          <w:bCs/>
        </w:rPr>
        <w:t xml:space="preserve">0.10 to 0.30 </w:t>
      </w:r>
      <w:proofErr w:type="spellStart"/>
      <w:r w:rsidRPr="00721FEA">
        <w:rPr>
          <w:b/>
          <w:bCs/>
        </w:rPr>
        <w:t>mJ</w:t>
      </w:r>
      <w:proofErr w:type="spellEnd"/>
      <w:r w:rsidRPr="00721FEA">
        <w:rPr>
          <w:b/>
          <w:bCs/>
        </w:rPr>
        <w:t>/mm²</w:t>
      </w:r>
      <w:r w:rsidRPr="00721FEA">
        <w:t> depending on whether focused or radial ESWT is used. [1-3]</w:t>
      </w:r>
    </w:p>
    <w:p w14:paraId="34491FDA" w14:textId="77777777" w:rsidR="00721FEA" w:rsidRPr="00721FEA" w:rsidRDefault="00721FEA" w:rsidP="00721FEA">
      <w:r w:rsidRPr="00721FEA">
        <w:rPr>
          <w:b/>
          <w:bCs/>
        </w:rPr>
        <w:t>Focused ESWT</w:t>
      </w:r>
      <w:r w:rsidRPr="00721FEA">
        <w:t> protocols commonly use:</w:t>
      </w:r>
    </w:p>
    <w:p w14:paraId="7457AB55" w14:textId="77777777" w:rsidR="00721FEA" w:rsidRPr="00721FEA" w:rsidRDefault="00721FEA" w:rsidP="00721FEA">
      <w:pPr>
        <w:numPr>
          <w:ilvl w:val="0"/>
          <w:numId w:val="12"/>
        </w:numPr>
      </w:pPr>
      <w:r w:rsidRPr="00721FEA">
        <w:t xml:space="preserve">Energy flux density: 0.20-0.30 </w:t>
      </w:r>
      <w:proofErr w:type="spellStart"/>
      <w:r w:rsidRPr="00721FEA">
        <w:t>mJ</w:t>
      </w:r>
      <w:proofErr w:type="spellEnd"/>
      <w:r w:rsidRPr="00721FEA">
        <w:t>/mm²</w:t>
      </w:r>
    </w:p>
    <w:p w14:paraId="6254E479" w14:textId="77777777" w:rsidR="00721FEA" w:rsidRPr="00721FEA" w:rsidRDefault="00721FEA" w:rsidP="00721FEA">
      <w:pPr>
        <w:numPr>
          <w:ilvl w:val="0"/>
          <w:numId w:val="12"/>
        </w:numPr>
      </w:pPr>
      <w:r w:rsidRPr="00721FEA">
        <w:t>2000 impulses per session</w:t>
      </w:r>
    </w:p>
    <w:p w14:paraId="6DCDD4E4" w14:textId="77777777" w:rsidR="00721FEA" w:rsidRPr="00721FEA" w:rsidRDefault="00721FEA" w:rsidP="00721FEA">
      <w:pPr>
        <w:numPr>
          <w:ilvl w:val="0"/>
          <w:numId w:val="12"/>
        </w:numPr>
      </w:pPr>
      <w:r w:rsidRPr="00721FEA">
        <w:t>3 sessions at weekly intervals</w:t>
      </w:r>
    </w:p>
    <w:p w14:paraId="0C6D0DFE" w14:textId="77777777" w:rsidR="00721FEA" w:rsidRPr="00721FEA" w:rsidRDefault="00721FEA" w:rsidP="00721FEA">
      <w:pPr>
        <w:numPr>
          <w:ilvl w:val="0"/>
          <w:numId w:val="12"/>
        </w:numPr>
      </w:pPr>
      <w:r w:rsidRPr="00721FEA">
        <w:t>Frequency: 4-6 Hz [1][3-4]</w:t>
      </w:r>
    </w:p>
    <w:p w14:paraId="4EBE70C3" w14:textId="77777777" w:rsidR="00721FEA" w:rsidRPr="00721FEA" w:rsidRDefault="00721FEA" w:rsidP="00721FEA">
      <w:r w:rsidRPr="00721FEA">
        <w:rPr>
          <w:b/>
          <w:bCs/>
        </w:rPr>
        <w:t>Radial ESWT</w:t>
      </w:r>
      <w:r w:rsidRPr="00721FEA">
        <w:t> protocols typically employ:</w:t>
      </w:r>
    </w:p>
    <w:p w14:paraId="7AF8B81C" w14:textId="77777777" w:rsidR="00721FEA" w:rsidRPr="00721FEA" w:rsidRDefault="00721FEA" w:rsidP="00721FEA">
      <w:pPr>
        <w:numPr>
          <w:ilvl w:val="0"/>
          <w:numId w:val="13"/>
        </w:numPr>
      </w:pPr>
      <w:r w:rsidRPr="00721FEA">
        <w:t xml:space="preserve">Pressure: 1.5-3.0 bar (energy flux density 0.10-0.17 </w:t>
      </w:r>
      <w:proofErr w:type="spellStart"/>
      <w:r w:rsidRPr="00721FEA">
        <w:t>mJ</w:t>
      </w:r>
      <w:proofErr w:type="spellEnd"/>
      <w:r w:rsidRPr="00721FEA">
        <w:t>/mm²)</w:t>
      </w:r>
    </w:p>
    <w:p w14:paraId="32BC111E" w14:textId="77777777" w:rsidR="00721FEA" w:rsidRPr="00721FEA" w:rsidRDefault="00721FEA" w:rsidP="00721FEA">
      <w:pPr>
        <w:numPr>
          <w:ilvl w:val="0"/>
          <w:numId w:val="13"/>
        </w:numPr>
      </w:pPr>
      <w:r w:rsidRPr="00721FEA">
        <w:t>2000-3500 impulses per session</w:t>
      </w:r>
    </w:p>
    <w:p w14:paraId="73E98AFB" w14:textId="77777777" w:rsidR="00721FEA" w:rsidRPr="00721FEA" w:rsidRDefault="00721FEA" w:rsidP="00721FEA">
      <w:pPr>
        <w:numPr>
          <w:ilvl w:val="0"/>
          <w:numId w:val="13"/>
        </w:numPr>
      </w:pPr>
      <w:r w:rsidRPr="00721FEA">
        <w:t>3-8 sessions at weekly intervals</w:t>
      </w:r>
    </w:p>
    <w:p w14:paraId="6185AC47" w14:textId="77777777" w:rsidR="00721FEA" w:rsidRPr="00721FEA" w:rsidRDefault="00721FEA" w:rsidP="00721FEA">
      <w:pPr>
        <w:numPr>
          <w:ilvl w:val="0"/>
          <w:numId w:val="13"/>
        </w:numPr>
      </w:pPr>
      <w:r w:rsidRPr="00721FEA">
        <w:t>Frequency: 12-21 Hz [2-3][5]</w:t>
      </w:r>
    </w:p>
    <w:p w14:paraId="602F0B9D" w14:textId="77777777" w:rsidR="00721FEA" w:rsidRPr="00721FEA" w:rsidRDefault="00721FEA" w:rsidP="00721FEA">
      <w:r w:rsidRPr="00721FEA">
        <w:t xml:space="preserve">Some protocols combine both modalities, using focused ESWT (1800-2000 impulses at 0.20-0.30 </w:t>
      </w:r>
      <w:proofErr w:type="spellStart"/>
      <w:r w:rsidRPr="00721FEA">
        <w:t>mJ</w:t>
      </w:r>
      <w:proofErr w:type="spellEnd"/>
      <w:r w:rsidRPr="00721FEA">
        <w:t>/mm²) followed by radial pulses (3000-3500 impulses at 1.8-3.0 bar) in the same session. [3]</w:t>
      </w:r>
    </w:p>
    <w:p w14:paraId="07DD6E7D" w14:textId="106E94AC" w:rsidR="00721FEA" w:rsidRPr="00721FEA" w:rsidRDefault="00721FEA" w:rsidP="00721FEA">
      <w:r w:rsidRPr="00721FEA">
        <w:rPr>
          <w:b/>
          <w:bCs/>
        </w:rPr>
        <w:lastRenderedPageBreak/>
        <w:t>Clinical efficacy</w:t>
      </w:r>
      <w:r w:rsidRPr="00721FEA">
        <w:t xml:space="preserve">: A large randomized controlled trial demonstrated that focused ESWT at 0.25 </w:t>
      </w:r>
      <w:proofErr w:type="spellStart"/>
      <w:r w:rsidRPr="00721FEA">
        <w:t>mJ</w:t>
      </w:r>
      <w:proofErr w:type="spellEnd"/>
      <w:r w:rsidRPr="00721FEA">
        <w:t>/mm² with 2000 impulses per session for 3 weekly sessions resulted in 69.2% reduction in heel pain compared to 34.5% with placebo. [1] Success rates (defined as ≥50% pain reduction) range from 50-67% across studies. [1][4] Meta-analysis confirms ESWT effectiveness for pain reduction, though optimal param</w:t>
      </w:r>
      <w:r w:rsidR="00E86E03" w:rsidRPr="00E86E03">
        <w:t>eters remain debate</w:t>
      </w:r>
      <w:r w:rsidR="00E86E03">
        <w:rPr>
          <w:rFonts w:hint="eastAsia"/>
        </w:rPr>
        <w:t>d</w:t>
      </w:r>
    </w:p>
    <w:p w14:paraId="303A7FD1" w14:textId="77777777" w:rsidR="00BC57F2" w:rsidRPr="00E86E03" w:rsidRDefault="00BC57F2"/>
    <w:sectPr w:rsidR="00BC57F2" w:rsidRPr="00E86E0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AAE02" w14:textId="77777777" w:rsidR="002F46FF" w:rsidRDefault="002F46FF" w:rsidP="00BC57F2">
      <w:pPr>
        <w:spacing w:after="0" w:line="240" w:lineRule="auto"/>
      </w:pPr>
      <w:r>
        <w:separator/>
      </w:r>
    </w:p>
  </w:endnote>
  <w:endnote w:type="continuationSeparator" w:id="0">
    <w:p w14:paraId="71CFA585" w14:textId="77777777" w:rsidR="002F46FF" w:rsidRDefault="002F46FF" w:rsidP="00BC5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1FBC7" w14:textId="77777777" w:rsidR="002F46FF" w:rsidRDefault="002F46FF" w:rsidP="00BC57F2">
      <w:pPr>
        <w:spacing w:after="0" w:line="240" w:lineRule="auto"/>
      </w:pPr>
      <w:r>
        <w:separator/>
      </w:r>
    </w:p>
  </w:footnote>
  <w:footnote w:type="continuationSeparator" w:id="0">
    <w:p w14:paraId="48AFD22B" w14:textId="77777777" w:rsidR="002F46FF" w:rsidRDefault="002F46FF" w:rsidP="00BC57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1B9D"/>
    <w:multiLevelType w:val="multilevel"/>
    <w:tmpl w:val="2092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C94A93"/>
    <w:multiLevelType w:val="multilevel"/>
    <w:tmpl w:val="53F0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9863A5"/>
    <w:multiLevelType w:val="multilevel"/>
    <w:tmpl w:val="9AB0B9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726F4"/>
    <w:multiLevelType w:val="multilevel"/>
    <w:tmpl w:val="1592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C961B2"/>
    <w:multiLevelType w:val="multilevel"/>
    <w:tmpl w:val="45FA12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422AE"/>
    <w:multiLevelType w:val="multilevel"/>
    <w:tmpl w:val="6BD6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2929C7"/>
    <w:multiLevelType w:val="multilevel"/>
    <w:tmpl w:val="FB62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BE3FB5"/>
    <w:multiLevelType w:val="multilevel"/>
    <w:tmpl w:val="A42833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B83BC3"/>
    <w:multiLevelType w:val="multilevel"/>
    <w:tmpl w:val="C82A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74119B"/>
    <w:multiLevelType w:val="multilevel"/>
    <w:tmpl w:val="1DF47F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83B4B"/>
    <w:multiLevelType w:val="multilevel"/>
    <w:tmpl w:val="D35866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4666D"/>
    <w:multiLevelType w:val="multilevel"/>
    <w:tmpl w:val="670A56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557ECA"/>
    <w:multiLevelType w:val="multilevel"/>
    <w:tmpl w:val="B904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5430857">
    <w:abstractNumId w:val="2"/>
  </w:num>
  <w:num w:numId="2" w16cid:durableId="1450779144">
    <w:abstractNumId w:val="4"/>
  </w:num>
  <w:num w:numId="3" w16cid:durableId="2046826372">
    <w:abstractNumId w:val="10"/>
  </w:num>
  <w:num w:numId="4" w16cid:durableId="1472409143">
    <w:abstractNumId w:val="9"/>
  </w:num>
  <w:num w:numId="5" w16cid:durableId="82603814">
    <w:abstractNumId w:val="7"/>
  </w:num>
  <w:num w:numId="6" w16cid:durableId="866602799">
    <w:abstractNumId w:val="11"/>
  </w:num>
  <w:num w:numId="7" w16cid:durableId="77407279">
    <w:abstractNumId w:val="5"/>
  </w:num>
  <w:num w:numId="8" w16cid:durableId="1750033249">
    <w:abstractNumId w:val="6"/>
  </w:num>
  <w:num w:numId="9" w16cid:durableId="1196967170">
    <w:abstractNumId w:val="8"/>
  </w:num>
  <w:num w:numId="10" w16cid:durableId="886188222">
    <w:abstractNumId w:val="3"/>
  </w:num>
  <w:num w:numId="11" w16cid:durableId="1528639876">
    <w:abstractNumId w:val="12"/>
  </w:num>
  <w:num w:numId="12" w16cid:durableId="1440292688">
    <w:abstractNumId w:val="1"/>
  </w:num>
  <w:num w:numId="13" w16cid:durableId="447965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F69"/>
    <w:rsid w:val="0015519E"/>
    <w:rsid w:val="001E0A95"/>
    <w:rsid w:val="001E59E9"/>
    <w:rsid w:val="001F785E"/>
    <w:rsid w:val="0020458D"/>
    <w:rsid w:val="002A4CD8"/>
    <w:rsid w:val="002F46FF"/>
    <w:rsid w:val="0034712B"/>
    <w:rsid w:val="00370A76"/>
    <w:rsid w:val="003C3FCC"/>
    <w:rsid w:val="0044305F"/>
    <w:rsid w:val="004E620B"/>
    <w:rsid w:val="006C32BD"/>
    <w:rsid w:val="00721FEA"/>
    <w:rsid w:val="00813F69"/>
    <w:rsid w:val="008632EE"/>
    <w:rsid w:val="00865ED9"/>
    <w:rsid w:val="009256CE"/>
    <w:rsid w:val="00A40277"/>
    <w:rsid w:val="00BC57F2"/>
    <w:rsid w:val="00CE3626"/>
    <w:rsid w:val="00E12216"/>
    <w:rsid w:val="00E86E03"/>
    <w:rsid w:val="00EC7506"/>
    <w:rsid w:val="00FA43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4B58B1"/>
  <w15:chartTrackingRefBased/>
  <w15:docId w15:val="{F624CE49-ED2F-4B7D-90DE-7514D0BA2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13F6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3F6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3F6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13F6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13F6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13F6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13F6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13F6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13F6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13F6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13F6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13F6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13F6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13F69"/>
    <w:rPr>
      <w:rFonts w:eastAsiaTheme="majorEastAsia" w:cstheme="majorBidi"/>
      <w:color w:val="0F4761" w:themeColor="accent1" w:themeShade="BF"/>
    </w:rPr>
  </w:style>
  <w:style w:type="character" w:customStyle="1" w:styleId="60">
    <w:name w:val="標題 6 字元"/>
    <w:basedOn w:val="a0"/>
    <w:link w:val="6"/>
    <w:uiPriority w:val="9"/>
    <w:semiHidden/>
    <w:rsid w:val="00813F69"/>
    <w:rPr>
      <w:rFonts w:eastAsiaTheme="majorEastAsia" w:cstheme="majorBidi"/>
      <w:color w:val="595959" w:themeColor="text1" w:themeTint="A6"/>
    </w:rPr>
  </w:style>
  <w:style w:type="character" w:customStyle="1" w:styleId="70">
    <w:name w:val="標題 7 字元"/>
    <w:basedOn w:val="a0"/>
    <w:link w:val="7"/>
    <w:uiPriority w:val="9"/>
    <w:semiHidden/>
    <w:rsid w:val="00813F69"/>
    <w:rPr>
      <w:rFonts w:eastAsiaTheme="majorEastAsia" w:cstheme="majorBidi"/>
      <w:color w:val="595959" w:themeColor="text1" w:themeTint="A6"/>
    </w:rPr>
  </w:style>
  <w:style w:type="character" w:customStyle="1" w:styleId="80">
    <w:name w:val="標題 8 字元"/>
    <w:basedOn w:val="a0"/>
    <w:link w:val="8"/>
    <w:uiPriority w:val="9"/>
    <w:semiHidden/>
    <w:rsid w:val="00813F69"/>
    <w:rPr>
      <w:rFonts w:eastAsiaTheme="majorEastAsia" w:cstheme="majorBidi"/>
      <w:color w:val="272727" w:themeColor="text1" w:themeTint="D8"/>
    </w:rPr>
  </w:style>
  <w:style w:type="character" w:customStyle="1" w:styleId="90">
    <w:name w:val="標題 9 字元"/>
    <w:basedOn w:val="a0"/>
    <w:link w:val="9"/>
    <w:uiPriority w:val="9"/>
    <w:semiHidden/>
    <w:rsid w:val="00813F69"/>
    <w:rPr>
      <w:rFonts w:eastAsiaTheme="majorEastAsia" w:cstheme="majorBidi"/>
      <w:color w:val="272727" w:themeColor="text1" w:themeTint="D8"/>
    </w:rPr>
  </w:style>
  <w:style w:type="paragraph" w:styleId="a3">
    <w:name w:val="Title"/>
    <w:basedOn w:val="a"/>
    <w:next w:val="a"/>
    <w:link w:val="a4"/>
    <w:uiPriority w:val="10"/>
    <w:qFormat/>
    <w:rsid w:val="00813F6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13F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3F6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13F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3F69"/>
    <w:pPr>
      <w:spacing w:before="160"/>
      <w:jc w:val="center"/>
    </w:pPr>
    <w:rPr>
      <w:i/>
      <w:iCs/>
      <w:color w:val="404040" w:themeColor="text1" w:themeTint="BF"/>
    </w:rPr>
  </w:style>
  <w:style w:type="character" w:customStyle="1" w:styleId="a8">
    <w:name w:val="引文 字元"/>
    <w:basedOn w:val="a0"/>
    <w:link w:val="a7"/>
    <w:uiPriority w:val="29"/>
    <w:rsid w:val="00813F69"/>
    <w:rPr>
      <w:i/>
      <w:iCs/>
      <w:color w:val="404040" w:themeColor="text1" w:themeTint="BF"/>
    </w:rPr>
  </w:style>
  <w:style w:type="paragraph" w:styleId="a9">
    <w:name w:val="List Paragraph"/>
    <w:basedOn w:val="a"/>
    <w:uiPriority w:val="34"/>
    <w:qFormat/>
    <w:rsid w:val="00813F69"/>
    <w:pPr>
      <w:ind w:left="720"/>
      <w:contextualSpacing/>
    </w:pPr>
  </w:style>
  <w:style w:type="character" w:styleId="aa">
    <w:name w:val="Intense Emphasis"/>
    <w:basedOn w:val="a0"/>
    <w:uiPriority w:val="21"/>
    <w:qFormat/>
    <w:rsid w:val="00813F69"/>
    <w:rPr>
      <w:i/>
      <w:iCs/>
      <w:color w:val="0F4761" w:themeColor="accent1" w:themeShade="BF"/>
    </w:rPr>
  </w:style>
  <w:style w:type="paragraph" w:styleId="ab">
    <w:name w:val="Intense Quote"/>
    <w:basedOn w:val="a"/>
    <w:next w:val="a"/>
    <w:link w:val="ac"/>
    <w:uiPriority w:val="30"/>
    <w:qFormat/>
    <w:rsid w:val="00813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13F69"/>
    <w:rPr>
      <w:i/>
      <w:iCs/>
      <w:color w:val="0F4761" w:themeColor="accent1" w:themeShade="BF"/>
    </w:rPr>
  </w:style>
  <w:style w:type="character" w:styleId="ad">
    <w:name w:val="Intense Reference"/>
    <w:basedOn w:val="a0"/>
    <w:uiPriority w:val="32"/>
    <w:qFormat/>
    <w:rsid w:val="00813F69"/>
    <w:rPr>
      <w:b/>
      <w:bCs/>
      <w:smallCaps/>
      <w:color w:val="0F4761" w:themeColor="accent1" w:themeShade="BF"/>
      <w:spacing w:val="5"/>
    </w:rPr>
  </w:style>
  <w:style w:type="character" w:styleId="ae">
    <w:name w:val="Hyperlink"/>
    <w:basedOn w:val="a0"/>
    <w:uiPriority w:val="99"/>
    <w:unhideWhenUsed/>
    <w:rsid w:val="001E0A95"/>
    <w:rPr>
      <w:color w:val="467886" w:themeColor="hyperlink"/>
      <w:u w:val="single"/>
    </w:rPr>
  </w:style>
  <w:style w:type="character" w:styleId="af">
    <w:name w:val="Unresolved Mention"/>
    <w:basedOn w:val="a0"/>
    <w:uiPriority w:val="99"/>
    <w:semiHidden/>
    <w:unhideWhenUsed/>
    <w:rsid w:val="001E0A95"/>
    <w:rPr>
      <w:color w:val="605E5C"/>
      <w:shd w:val="clear" w:color="auto" w:fill="E1DFDD"/>
    </w:rPr>
  </w:style>
  <w:style w:type="paragraph" w:styleId="af0">
    <w:name w:val="header"/>
    <w:basedOn w:val="a"/>
    <w:link w:val="af1"/>
    <w:uiPriority w:val="99"/>
    <w:unhideWhenUsed/>
    <w:rsid w:val="00BC57F2"/>
    <w:pPr>
      <w:tabs>
        <w:tab w:val="center" w:pos="4153"/>
        <w:tab w:val="right" w:pos="8306"/>
      </w:tabs>
      <w:snapToGrid w:val="0"/>
    </w:pPr>
    <w:rPr>
      <w:sz w:val="20"/>
      <w:szCs w:val="20"/>
    </w:rPr>
  </w:style>
  <w:style w:type="character" w:customStyle="1" w:styleId="af1">
    <w:name w:val="頁首 字元"/>
    <w:basedOn w:val="a0"/>
    <w:link w:val="af0"/>
    <w:uiPriority w:val="99"/>
    <w:rsid w:val="00BC57F2"/>
    <w:rPr>
      <w:sz w:val="20"/>
      <w:szCs w:val="20"/>
    </w:rPr>
  </w:style>
  <w:style w:type="paragraph" w:styleId="af2">
    <w:name w:val="footer"/>
    <w:basedOn w:val="a"/>
    <w:link w:val="af3"/>
    <w:uiPriority w:val="99"/>
    <w:unhideWhenUsed/>
    <w:rsid w:val="00BC57F2"/>
    <w:pPr>
      <w:tabs>
        <w:tab w:val="center" w:pos="4153"/>
        <w:tab w:val="right" w:pos="8306"/>
      </w:tabs>
      <w:snapToGrid w:val="0"/>
    </w:pPr>
    <w:rPr>
      <w:sz w:val="20"/>
      <w:szCs w:val="20"/>
    </w:rPr>
  </w:style>
  <w:style w:type="character" w:customStyle="1" w:styleId="af3">
    <w:name w:val="頁尾 字元"/>
    <w:basedOn w:val="a0"/>
    <w:link w:val="af2"/>
    <w:uiPriority w:val="99"/>
    <w:rsid w:val="00BC57F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8</Pages>
  <Words>1284</Words>
  <Characters>7321</Characters>
  <Application>Microsoft Office Word</Application>
  <DocSecurity>0</DocSecurity>
  <Lines>61</Lines>
  <Paragraphs>17</Paragraphs>
  <ScaleCrop>false</ScaleCrop>
  <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ChanLin</dc:creator>
  <cp:keywords/>
  <dc:description/>
  <cp:lastModifiedBy>Chu ChanLin</cp:lastModifiedBy>
  <cp:revision>15</cp:revision>
  <dcterms:created xsi:type="dcterms:W3CDTF">2026-05-28T00:13:00Z</dcterms:created>
  <dcterms:modified xsi:type="dcterms:W3CDTF">2026-06-11T23:54:00Z</dcterms:modified>
</cp:coreProperties>
</file>