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437" w:type="dxa"/>
        <w:tblBorders>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1444"/>
        <w:gridCol w:w="2452"/>
        <w:gridCol w:w="1985"/>
        <w:gridCol w:w="2676"/>
        <w:gridCol w:w="2502"/>
        <w:gridCol w:w="2378"/>
      </w:tblGrid>
      <w:tr w:rsidR="00D8594F" w:rsidRPr="00D8594F" w14:paraId="732A143E" w14:textId="77777777">
        <w:tc>
          <w:tcPr>
            <w:tcW w:w="0" w:type="auto"/>
            <w:tcBorders>
              <w:top w:val="single" w:sz="6" w:space="0" w:color="BFBFBF"/>
              <w:left w:val="single" w:sz="6" w:space="0" w:color="BFBFBF"/>
              <w:bottom w:val="single" w:sz="6" w:space="0" w:color="BFBFBF"/>
              <w:right w:val="single" w:sz="6" w:space="0" w:color="BFBFBF"/>
            </w:tcBorders>
            <w:shd w:val="clear" w:color="auto" w:fill="E6E6E6"/>
            <w:tcMar>
              <w:top w:w="75" w:type="dxa"/>
              <w:left w:w="144" w:type="dxa"/>
              <w:bottom w:w="120" w:type="dxa"/>
              <w:right w:w="144" w:type="dxa"/>
            </w:tcMar>
            <w:vAlign w:val="center"/>
            <w:hideMark/>
          </w:tcPr>
          <w:p w14:paraId="0AA983D4" w14:textId="77777777" w:rsidR="00D8594F" w:rsidRPr="00D8594F" w:rsidRDefault="00D8594F" w:rsidP="00D8594F">
            <w:pPr>
              <w:widowControl/>
              <w:spacing w:after="0" w:line="360" w:lineRule="atLeast"/>
              <w:jc w:val="center"/>
              <w:rPr>
                <w:rFonts w:ascii="新細明體" w:eastAsia="新細明體" w:hAnsi="新細明體" w:cs="新細明體"/>
                <w:b/>
                <w:bCs/>
                <w:kern w:val="0"/>
                <w14:ligatures w14:val="none"/>
              </w:rPr>
            </w:pPr>
            <w:r w:rsidRPr="00D8594F">
              <w:rPr>
                <w:rFonts w:ascii="新細明體" w:eastAsia="新細明體" w:hAnsi="新細明體" w:cs="新細明體"/>
                <w:b/>
                <w:bCs/>
                <w:kern w:val="0"/>
                <w14:ligatures w14:val="none"/>
              </w:rPr>
              <w:t>Impairment</w:t>
            </w:r>
          </w:p>
        </w:tc>
        <w:tc>
          <w:tcPr>
            <w:tcW w:w="0" w:type="auto"/>
            <w:tcBorders>
              <w:top w:val="single" w:sz="6" w:space="0" w:color="BFBFBF"/>
              <w:left w:val="single" w:sz="6" w:space="0" w:color="BFBFBF"/>
              <w:bottom w:val="single" w:sz="6" w:space="0" w:color="BFBFBF"/>
              <w:right w:val="single" w:sz="6" w:space="0" w:color="BFBFBF"/>
            </w:tcBorders>
            <w:shd w:val="clear" w:color="auto" w:fill="E6E6E6"/>
            <w:tcMar>
              <w:top w:w="75" w:type="dxa"/>
              <w:left w:w="144" w:type="dxa"/>
              <w:bottom w:w="120" w:type="dxa"/>
              <w:right w:w="144" w:type="dxa"/>
            </w:tcMar>
            <w:vAlign w:val="center"/>
            <w:hideMark/>
          </w:tcPr>
          <w:p w14:paraId="24331B08" w14:textId="77777777" w:rsidR="00D8594F" w:rsidRPr="00D8594F" w:rsidRDefault="00D8594F" w:rsidP="00D8594F">
            <w:pPr>
              <w:widowControl/>
              <w:spacing w:after="0" w:line="360" w:lineRule="atLeast"/>
              <w:jc w:val="center"/>
              <w:rPr>
                <w:rFonts w:ascii="新細明體" w:eastAsia="新細明體" w:hAnsi="新細明體" w:cs="新細明體"/>
                <w:b/>
                <w:bCs/>
                <w:kern w:val="0"/>
                <w14:ligatures w14:val="none"/>
              </w:rPr>
            </w:pPr>
            <w:r w:rsidRPr="00D8594F">
              <w:rPr>
                <w:rFonts w:ascii="新細明體" w:eastAsia="新細明體" w:hAnsi="新細明體" w:cs="新細明體"/>
                <w:b/>
                <w:bCs/>
                <w:kern w:val="0"/>
                <w14:ligatures w14:val="none"/>
              </w:rPr>
              <w:t>None (0)</w:t>
            </w:r>
          </w:p>
        </w:tc>
        <w:tc>
          <w:tcPr>
            <w:tcW w:w="0" w:type="auto"/>
            <w:tcBorders>
              <w:top w:val="single" w:sz="6" w:space="0" w:color="BFBFBF"/>
              <w:left w:val="single" w:sz="6" w:space="0" w:color="BFBFBF"/>
              <w:bottom w:val="single" w:sz="6" w:space="0" w:color="BFBFBF"/>
              <w:right w:val="single" w:sz="6" w:space="0" w:color="BFBFBF"/>
            </w:tcBorders>
            <w:shd w:val="clear" w:color="auto" w:fill="E6E6E6"/>
            <w:tcMar>
              <w:top w:w="75" w:type="dxa"/>
              <w:left w:w="144" w:type="dxa"/>
              <w:bottom w:w="120" w:type="dxa"/>
              <w:right w:w="144" w:type="dxa"/>
            </w:tcMar>
            <w:vAlign w:val="center"/>
            <w:hideMark/>
          </w:tcPr>
          <w:p w14:paraId="57A0D287" w14:textId="77777777" w:rsidR="00D8594F" w:rsidRPr="00D8594F" w:rsidRDefault="00D8594F" w:rsidP="00D8594F">
            <w:pPr>
              <w:widowControl/>
              <w:spacing w:after="0" w:line="360" w:lineRule="atLeast"/>
              <w:jc w:val="center"/>
              <w:rPr>
                <w:rFonts w:ascii="新細明體" w:eastAsia="新細明體" w:hAnsi="新細明體" w:cs="新細明體"/>
                <w:b/>
                <w:bCs/>
                <w:kern w:val="0"/>
                <w14:ligatures w14:val="none"/>
              </w:rPr>
            </w:pPr>
            <w:r w:rsidRPr="00D8594F">
              <w:rPr>
                <w:rFonts w:ascii="新細明體" w:eastAsia="新細明體" w:hAnsi="新細明體" w:cs="新細明體"/>
                <w:b/>
                <w:bCs/>
                <w:kern w:val="0"/>
                <w14:ligatures w14:val="none"/>
              </w:rPr>
              <w:t>Questionable (0.5)</w:t>
            </w:r>
          </w:p>
        </w:tc>
        <w:tc>
          <w:tcPr>
            <w:tcW w:w="0" w:type="auto"/>
            <w:tcBorders>
              <w:top w:val="single" w:sz="6" w:space="0" w:color="BFBFBF"/>
              <w:left w:val="single" w:sz="6" w:space="0" w:color="BFBFBF"/>
              <w:bottom w:val="single" w:sz="6" w:space="0" w:color="BFBFBF"/>
              <w:right w:val="single" w:sz="6" w:space="0" w:color="BFBFBF"/>
            </w:tcBorders>
            <w:shd w:val="clear" w:color="auto" w:fill="E6E6E6"/>
            <w:tcMar>
              <w:top w:w="75" w:type="dxa"/>
              <w:left w:w="144" w:type="dxa"/>
              <w:bottom w:w="120" w:type="dxa"/>
              <w:right w:w="144" w:type="dxa"/>
            </w:tcMar>
            <w:vAlign w:val="center"/>
            <w:hideMark/>
          </w:tcPr>
          <w:p w14:paraId="4FB96FF7" w14:textId="77777777" w:rsidR="00D8594F" w:rsidRPr="00D8594F" w:rsidRDefault="00D8594F" w:rsidP="00D8594F">
            <w:pPr>
              <w:widowControl/>
              <w:spacing w:after="0" w:line="360" w:lineRule="atLeast"/>
              <w:jc w:val="center"/>
              <w:rPr>
                <w:rFonts w:ascii="新細明體" w:eastAsia="新細明體" w:hAnsi="新細明體" w:cs="新細明體"/>
                <w:b/>
                <w:bCs/>
                <w:kern w:val="0"/>
                <w14:ligatures w14:val="none"/>
              </w:rPr>
            </w:pPr>
            <w:r w:rsidRPr="00D8594F">
              <w:rPr>
                <w:rFonts w:ascii="新細明體" w:eastAsia="新細明體" w:hAnsi="新細明體" w:cs="新細明體"/>
                <w:b/>
                <w:bCs/>
                <w:kern w:val="0"/>
                <w14:ligatures w14:val="none"/>
              </w:rPr>
              <w:t>Mild (1)</w:t>
            </w:r>
          </w:p>
        </w:tc>
        <w:tc>
          <w:tcPr>
            <w:tcW w:w="0" w:type="auto"/>
            <w:tcBorders>
              <w:top w:val="single" w:sz="6" w:space="0" w:color="BFBFBF"/>
              <w:left w:val="single" w:sz="6" w:space="0" w:color="BFBFBF"/>
              <w:bottom w:val="single" w:sz="6" w:space="0" w:color="BFBFBF"/>
              <w:right w:val="single" w:sz="6" w:space="0" w:color="BFBFBF"/>
            </w:tcBorders>
            <w:shd w:val="clear" w:color="auto" w:fill="E6E6E6"/>
            <w:tcMar>
              <w:top w:w="75" w:type="dxa"/>
              <w:left w:w="144" w:type="dxa"/>
              <w:bottom w:w="120" w:type="dxa"/>
              <w:right w:w="144" w:type="dxa"/>
            </w:tcMar>
            <w:vAlign w:val="center"/>
            <w:hideMark/>
          </w:tcPr>
          <w:p w14:paraId="1809384A" w14:textId="77777777" w:rsidR="00D8594F" w:rsidRPr="00D8594F" w:rsidRDefault="00D8594F" w:rsidP="00D8594F">
            <w:pPr>
              <w:widowControl/>
              <w:spacing w:after="0" w:line="360" w:lineRule="atLeast"/>
              <w:jc w:val="center"/>
              <w:rPr>
                <w:rFonts w:ascii="新細明體" w:eastAsia="新細明體" w:hAnsi="新細明體" w:cs="新細明體"/>
                <w:b/>
                <w:bCs/>
                <w:kern w:val="0"/>
                <w14:ligatures w14:val="none"/>
              </w:rPr>
            </w:pPr>
            <w:r w:rsidRPr="00D8594F">
              <w:rPr>
                <w:rFonts w:ascii="新細明體" w:eastAsia="新細明體" w:hAnsi="新細明體" w:cs="新細明體"/>
                <w:b/>
                <w:bCs/>
                <w:kern w:val="0"/>
                <w14:ligatures w14:val="none"/>
              </w:rPr>
              <w:t>Moderate (2)</w:t>
            </w:r>
          </w:p>
        </w:tc>
        <w:tc>
          <w:tcPr>
            <w:tcW w:w="0" w:type="auto"/>
            <w:tcBorders>
              <w:top w:val="single" w:sz="6" w:space="0" w:color="BFBFBF"/>
              <w:left w:val="single" w:sz="6" w:space="0" w:color="BFBFBF"/>
              <w:bottom w:val="single" w:sz="6" w:space="0" w:color="BFBFBF"/>
              <w:right w:val="single" w:sz="6" w:space="0" w:color="BFBFBF"/>
            </w:tcBorders>
            <w:shd w:val="clear" w:color="auto" w:fill="E6E6E6"/>
            <w:tcMar>
              <w:top w:w="75" w:type="dxa"/>
              <w:left w:w="144" w:type="dxa"/>
              <w:bottom w:w="120" w:type="dxa"/>
              <w:right w:w="144" w:type="dxa"/>
            </w:tcMar>
            <w:vAlign w:val="center"/>
            <w:hideMark/>
          </w:tcPr>
          <w:p w14:paraId="34C13564" w14:textId="77777777" w:rsidR="00D8594F" w:rsidRPr="00D8594F" w:rsidRDefault="00D8594F" w:rsidP="00D8594F">
            <w:pPr>
              <w:widowControl/>
              <w:spacing w:after="0" w:line="360" w:lineRule="atLeast"/>
              <w:jc w:val="center"/>
              <w:rPr>
                <w:rFonts w:ascii="新細明體" w:eastAsia="新細明體" w:hAnsi="新細明體" w:cs="新細明體"/>
                <w:b/>
                <w:bCs/>
                <w:kern w:val="0"/>
                <w14:ligatures w14:val="none"/>
              </w:rPr>
            </w:pPr>
            <w:r w:rsidRPr="00D8594F">
              <w:rPr>
                <w:rFonts w:ascii="新細明體" w:eastAsia="新細明體" w:hAnsi="新細明體" w:cs="新細明體"/>
                <w:b/>
                <w:bCs/>
                <w:kern w:val="0"/>
                <w14:ligatures w14:val="none"/>
              </w:rPr>
              <w:t>Severe (3)</w:t>
            </w:r>
          </w:p>
        </w:tc>
      </w:tr>
      <w:tr w:rsidR="00D8594F" w:rsidRPr="00D8594F" w14:paraId="1B0D43D7" w14:textId="77777777">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30578357"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Memory</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28565AFA"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No memory loss or slight inconstant forgetfulness</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13ECEF68"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Consistent slight forgetfulness; partial recollection of events</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03A9204F"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Moderate memory loss; more marked for recent events; defect interferes with everyday activities</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0A491AAB"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 xml:space="preserve">Severe memory </w:t>
            </w:r>
            <w:proofErr w:type="gramStart"/>
            <w:r w:rsidRPr="00D8594F">
              <w:rPr>
                <w:rFonts w:ascii="新細明體" w:eastAsia="新細明體" w:hAnsi="新細明體" w:cs="新細明體"/>
                <w:kern w:val="0"/>
                <w:sz w:val="21"/>
                <w:szCs w:val="21"/>
                <w14:ligatures w14:val="none"/>
              </w:rPr>
              <w:t>loss;</w:t>
            </w:r>
            <w:proofErr w:type="gramEnd"/>
            <w:r w:rsidRPr="00D8594F">
              <w:rPr>
                <w:rFonts w:ascii="新細明體" w:eastAsia="新細明體" w:hAnsi="新細明體" w:cs="新細明體"/>
                <w:kern w:val="0"/>
                <w:sz w:val="21"/>
                <w:szCs w:val="21"/>
                <w14:ligatures w14:val="none"/>
              </w:rPr>
              <w:t xml:space="preserve"> only highly learned material retained; new material rapidly lost</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3190CCCB"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 xml:space="preserve">Severe memory </w:t>
            </w:r>
            <w:proofErr w:type="gramStart"/>
            <w:r w:rsidRPr="00D8594F">
              <w:rPr>
                <w:rFonts w:ascii="新細明體" w:eastAsia="新細明體" w:hAnsi="新細明體" w:cs="新細明體"/>
                <w:kern w:val="0"/>
                <w:sz w:val="21"/>
                <w:szCs w:val="21"/>
                <w14:ligatures w14:val="none"/>
              </w:rPr>
              <w:t>loss;</w:t>
            </w:r>
            <w:proofErr w:type="gramEnd"/>
            <w:r w:rsidRPr="00D8594F">
              <w:rPr>
                <w:rFonts w:ascii="新細明體" w:eastAsia="新細明體" w:hAnsi="新細明體" w:cs="新細明體"/>
                <w:kern w:val="0"/>
                <w:sz w:val="21"/>
                <w:szCs w:val="21"/>
                <w14:ligatures w14:val="none"/>
              </w:rPr>
              <w:t xml:space="preserve"> only fragments remain</w:t>
            </w:r>
          </w:p>
        </w:tc>
      </w:tr>
      <w:tr w:rsidR="00D8594F" w:rsidRPr="00D8594F" w14:paraId="1CD74E3E" w14:textId="77777777">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66F05C81"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Orientation</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2E19B30E"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Fully oriented</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2AF6F308"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Fully oriented or slight difficulty with time relationships</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5ED656AA"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Moderate difficulty with time relationships; oriented for place at examination; may have geographic disorientation elsewhere</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5FC7B303"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Severe difficulty with time relationships; usually disoriented in time, often to place</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0B2B7294"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Oriented to person only</w:t>
            </w:r>
          </w:p>
        </w:tc>
      </w:tr>
      <w:tr w:rsidR="00D8594F" w:rsidRPr="00D8594F" w14:paraId="1FED0BA3" w14:textId="77777777">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0AE15607"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Judgment and problem</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01ADF22F"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Solves everyday problems and handles business and financial affairs well; judgment good in relation to past performance</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0930ABED"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Slight impairment to solving problems, similarities, differences</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2B405514"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Moderate difficulty in handling problems, similarities, differences; social judgment usually maintained</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5E0CB0A7"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Severely impaired in handling problems, similarities, differences; social judgment usually impaired</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27E1E3CE"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Unable to make judgments or solve problems</w:t>
            </w:r>
          </w:p>
        </w:tc>
      </w:tr>
      <w:tr w:rsidR="00D8594F" w:rsidRPr="00D8594F" w14:paraId="2D279196" w14:textId="77777777">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63E42FB9"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Community affairs</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4407BF4C"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Independent function at usual level in job, shopping, volunteer and social groups</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7842A072"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Slight impairment in these activities</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2F122D73"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Unable to function independently at these activities though may still be engaged in some; appears normal to casual inspection</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67666E2A"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No pretense of independent function outside of home; appears well enough to be taken to functions outside of family home</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5F9D35D8"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No pretense of independent function outside of home; appears too ill to be taken to functions outside a family home</w:t>
            </w:r>
          </w:p>
        </w:tc>
      </w:tr>
      <w:tr w:rsidR="00D8594F" w:rsidRPr="00D8594F" w14:paraId="793CA6BB" w14:textId="77777777">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6208F378"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Home and hobbies</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0C71237B"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Life at home, hobbies, intellectual interests well maintained</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6B6AD3D6"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Life at home, hobbies, intellectual interests slightly impaired</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7C4DB4BF"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Mild but definite impairment of function at home; more difficult chores abandoned; more complicated hobbies and interests abandoned</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4C1BF4E7"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Only simple chores preserved; very restricted interests, poorly maintained</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678F22F3"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No significant function in home</w:t>
            </w:r>
          </w:p>
        </w:tc>
      </w:tr>
      <w:tr w:rsidR="00D8594F" w:rsidRPr="00D8594F" w14:paraId="5E2558EE" w14:textId="77777777">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26D547B3"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Personal care</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5F2C69EE"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 xml:space="preserve">Fully capable of </w:t>
            </w:r>
            <w:proofErr w:type="spellStart"/>
            <w:r w:rsidRPr="00D8594F">
              <w:rPr>
                <w:rFonts w:ascii="新細明體" w:eastAsia="新細明體" w:hAnsi="新細明體" w:cs="新細明體"/>
                <w:kern w:val="0"/>
                <w:sz w:val="21"/>
                <w:szCs w:val="21"/>
                <w14:ligatures w14:val="none"/>
              </w:rPr>
              <w:t>self care</w:t>
            </w:r>
            <w:proofErr w:type="spellEnd"/>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45E8A960"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 xml:space="preserve">Fully capable of </w:t>
            </w:r>
            <w:proofErr w:type="spellStart"/>
            <w:r w:rsidRPr="00D8594F">
              <w:rPr>
                <w:rFonts w:ascii="新細明體" w:eastAsia="新細明體" w:hAnsi="新細明體" w:cs="新細明體"/>
                <w:kern w:val="0"/>
                <w:sz w:val="21"/>
                <w:szCs w:val="21"/>
                <w14:ligatures w14:val="none"/>
              </w:rPr>
              <w:t>self care</w:t>
            </w:r>
            <w:proofErr w:type="spellEnd"/>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09B6A085"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Needs prompting</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3E38BD39"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Requires assistance in dressing, hygiene, keeping of personal effects</w:t>
            </w:r>
          </w:p>
        </w:tc>
        <w:tc>
          <w:tcPr>
            <w:tcW w:w="0" w:type="auto"/>
            <w:tcBorders>
              <w:top w:val="single" w:sz="6" w:space="0" w:color="BFBFBF"/>
              <w:left w:val="single" w:sz="6" w:space="0" w:color="BFBFBF"/>
              <w:bottom w:val="single" w:sz="6" w:space="0" w:color="BFBFBF"/>
              <w:right w:val="single" w:sz="6" w:space="0" w:color="BFBFBF"/>
            </w:tcBorders>
            <w:tcMar>
              <w:top w:w="72" w:type="dxa"/>
              <w:left w:w="144" w:type="dxa"/>
              <w:bottom w:w="72" w:type="dxa"/>
              <w:right w:w="144" w:type="dxa"/>
            </w:tcMar>
            <w:hideMark/>
          </w:tcPr>
          <w:p w14:paraId="21C0024F" w14:textId="77777777" w:rsidR="00D8594F" w:rsidRPr="00D8594F" w:rsidRDefault="00D8594F" w:rsidP="00D8594F">
            <w:pPr>
              <w:widowControl/>
              <w:spacing w:after="0" w:line="360" w:lineRule="atLeast"/>
              <w:rPr>
                <w:rFonts w:ascii="新細明體" w:eastAsia="新細明體" w:hAnsi="新細明體" w:cs="新細明體"/>
                <w:kern w:val="0"/>
                <w:sz w:val="21"/>
                <w:szCs w:val="21"/>
                <w14:ligatures w14:val="none"/>
              </w:rPr>
            </w:pPr>
            <w:r w:rsidRPr="00D8594F">
              <w:rPr>
                <w:rFonts w:ascii="新細明體" w:eastAsia="新細明體" w:hAnsi="新細明體" w:cs="新細明體"/>
                <w:kern w:val="0"/>
                <w:sz w:val="21"/>
                <w:szCs w:val="21"/>
                <w14:ligatures w14:val="none"/>
              </w:rPr>
              <w:t>Requires much help with personal care; frequent incontinence</w:t>
            </w:r>
          </w:p>
        </w:tc>
      </w:tr>
    </w:tbl>
    <w:p w14:paraId="59D18032" w14:textId="77777777" w:rsidR="00D8594F" w:rsidRPr="00D8594F" w:rsidRDefault="00D8594F" w:rsidP="00D8594F">
      <w:pPr>
        <w:widowControl/>
        <w:spacing w:after="120" w:line="315" w:lineRule="atLeast"/>
        <w:rPr>
          <w:rFonts w:ascii="Noto Sans" w:eastAsia="新細明體" w:hAnsi="Noto Sans" w:cs="Noto Sans"/>
          <w:color w:val="232323"/>
          <w:kern w:val="0"/>
          <w:sz w:val="21"/>
          <w:szCs w:val="21"/>
          <w14:ligatures w14:val="none"/>
        </w:rPr>
      </w:pPr>
      <w:r w:rsidRPr="00D8594F">
        <w:rPr>
          <w:rFonts w:ascii="Noto Sans" w:eastAsia="新細明體" w:hAnsi="Noto Sans" w:cs="Noto Sans"/>
          <w:color w:val="232323"/>
          <w:kern w:val="0"/>
          <w:sz w:val="21"/>
          <w:szCs w:val="21"/>
          <w14:ligatures w14:val="none"/>
        </w:rPr>
        <w:t>Score only as decline from previous usual level due to cognitive loss, not impaired due to other factors.</w:t>
      </w:r>
    </w:p>
    <w:p w14:paraId="552FE0EB" w14:textId="77777777" w:rsidR="00D8594F" w:rsidRPr="00D8594F" w:rsidRDefault="00D8594F" w:rsidP="00D8594F">
      <w:pPr>
        <w:widowControl/>
        <w:spacing w:after="0" w:line="315" w:lineRule="atLeast"/>
        <w:rPr>
          <w:rFonts w:ascii="Noto Sans" w:eastAsia="新細明體" w:hAnsi="Noto Sans" w:cs="Noto Sans"/>
          <w:kern w:val="0"/>
          <w:sz w:val="21"/>
          <w:szCs w:val="21"/>
          <w14:ligatures w14:val="none"/>
        </w:rPr>
      </w:pPr>
    </w:p>
    <w:p w14:paraId="24FC6881" w14:textId="77777777" w:rsidR="005F715D" w:rsidRPr="005F715D" w:rsidRDefault="005F715D" w:rsidP="005F715D">
      <w:r w:rsidRPr="005F715D">
        <w:t>CDR® Scoring Rules</w:t>
      </w:r>
    </w:p>
    <w:p w14:paraId="0241D0B8" w14:textId="77777777" w:rsidR="005F715D" w:rsidRPr="005F715D" w:rsidRDefault="005F715D" w:rsidP="005F715D">
      <w:r w:rsidRPr="005F715D">
        <w:t xml:space="preserve">Use all information available and make the best judgment. Score each category </w:t>
      </w:r>
      <w:r w:rsidRPr="005F715D">
        <w:lastRenderedPageBreak/>
        <w:t xml:space="preserve">(M, O, JPS, CA, HH, PC) as independently as possible. Mark in only one box, for each category, rating impairment as decline from the person’s usual level due to cognitive loss alone, not impairment due to other factors, such as physical handicap or depression. Occasionally the evidence is </w:t>
      </w:r>
      <w:proofErr w:type="gramStart"/>
      <w:r w:rsidRPr="005F715D">
        <w:t>ambiguous</w:t>
      </w:r>
      <w:proofErr w:type="gramEnd"/>
      <w:r w:rsidRPr="005F715D">
        <w:t xml:space="preserve"> and the clinician’s best judgment is that a category could be rated in either one of two adjacent boxes, such as mild (1) or moderate (2) impairment. In that situation the standard procedure is to check the box of greater impairment.</w:t>
      </w:r>
    </w:p>
    <w:p w14:paraId="31F0CAA2" w14:textId="77777777" w:rsidR="005F715D" w:rsidRPr="005F715D" w:rsidRDefault="005F715D" w:rsidP="005F715D">
      <w:r w:rsidRPr="005F715D">
        <w:t xml:space="preserve">Aphasia is </w:t>
      </w:r>
      <w:proofErr w:type="gramStart"/>
      <w:r w:rsidRPr="005F715D">
        <w:t>taken into account</w:t>
      </w:r>
      <w:proofErr w:type="gramEnd"/>
      <w:r w:rsidRPr="005F715D">
        <w:t xml:space="preserve"> by assessing both language and non-language function in each cognitive category. If aphasia is present to a greater degree than the general dementia, the subject is rated according to the general dementia. Supply evidence of non-language cognitive function.</w:t>
      </w:r>
    </w:p>
    <w:p w14:paraId="7D9A6DA2" w14:textId="77777777" w:rsidR="005F715D" w:rsidRPr="005F715D" w:rsidRDefault="005F715D" w:rsidP="005F715D">
      <w:r w:rsidRPr="005F715D">
        <w:t>The </w:t>
      </w:r>
      <w:r w:rsidRPr="005F715D">
        <w:rPr>
          <w:i/>
          <w:iCs/>
        </w:rPr>
        <w:t>Global</w:t>
      </w:r>
      <w:r w:rsidRPr="005F715D">
        <w:t> </w:t>
      </w:r>
      <w:r w:rsidRPr="005F715D">
        <w:rPr>
          <w:i/>
          <w:iCs/>
        </w:rPr>
        <w:t>Clinical Dementia Rating</w:t>
      </w:r>
      <w:r w:rsidRPr="005F715D">
        <w:t> (CDR®) </w:t>
      </w:r>
      <w:r w:rsidRPr="005F715D">
        <w:rPr>
          <w:i/>
          <w:iCs/>
        </w:rPr>
        <w:t>Score </w:t>
      </w:r>
      <w:r w:rsidRPr="005F715D">
        <w:t xml:space="preserve">is derived from the scores in each of the six categories (“box scores”) as follows. Memory (M) is considered the primary category and all others are secondary. CDR = M if at least three secondary categories are given the same score as memory. Whenever three or more secondary categories are given a score greater or less than the memory score, CDR = score of </w:t>
      </w:r>
      <w:proofErr w:type="gramStart"/>
      <w:r w:rsidRPr="005F715D">
        <w:t>majority</w:t>
      </w:r>
      <w:proofErr w:type="gramEnd"/>
      <w:r w:rsidRPr="005F715D">
        <w:t xml:space="preserve"> of secondary categories on whichever side of M has the greater number of secondary categories. When three secondary categories are scored on one side of M and two secondary categories are scored on the other side of M, CDR=M.</w:t>
      </w:r>
    </w:p>
    <w:p w14:paraId="286CED51" w14:textId="77777777" w:rsidR="005F715D" w:rsidRPr="005F715D" w:rsidRDefault="005F715D" w:rsidP="005F715D">
      <w:r w:rsidRPr="005F715D">
        <w:t>When M = 0.5, CDR = 1 if at least three of the other categories are scored one or greater. If M = 0.5, CDR cannot be 0; it can only be 0.5 or 1. If M = 0, CDR = 0 unless there is impairment (0.5 or greater) in two or more secondary categories, in which case CDR = 0.5.</w:t>
      </w:r>
    </w:p>
    <w:p w14:paraId="75D913DD" w14:textId="77777777" w:rsidR="005F715D" w:rsidRPr="005F715D" w:rsidRDefault="005F715D" w:rsidP="005F715D">
      <w:r w:rsidRPr="005F715D">
        <w:t>Although applicable to most Alzheimer’s disease situations, these rules do not cover all possible scoring combinations. Unusual circumstances occur occasionally in Alzheimer’s disease and may be expected in non-Alzheimer dementia as well are scored as follows:</w:t>
      </w:r>
    </w:p>
    <w:p w14:paraId="23DC0484" w14:textId="77777777" w:rsidR="005F715D" w:rsidRPr="005F715D" w:rsidRDefault="005F715D" w:rsidP="005F715D">
      <w:pPr>
        <w:numPr>
          <w:ilvl w:val="0"/>
          <w:numId w:val="1"/>
        </w:numPr>
      </w:pPr>
      <w:r w:rsidRPr="005F715D">
        <w:t xml:space="preserve">With ties in the secondary categories on one side of M, choose the tied scores closest to M for CDR (e.g., M and another secondary category = 3, two secondary categories = 2, and two secondary categories = 1; CDR = </w:t>
      </w:r>
      <w:r w:rsidRPr="005F715D">
        <w:lastRenderedPageBreak/>
        <w:t>2).</w:t>
      </w:r>
    </w:p>
    <w:p w14:paraId="4AA5FFC3" w14:textId="77777777" w:rsidR="005F715D" w:rsidRPr="005F715D" w:rsidRDefault="005F715D" w:rsidP="005F715D">
      <w:pPr>
        <w:numPr>
          <w:ilvl w:val="0"/>
          <w:numId w:val="1"/>
        </w:numPr>
      </w:pPr>
      <w:r w:rsidRPr="005F715D">
        <w:t>When only one or two secondary categories are given the same score as M, CDR = M as long as no more than two secondary categories are on either side of M.</w:t>
      </w:r>
    </w:p>
    <w:p w14:paraId="5D51C470" w14:textId="77777777" w:rsidR="005F715D" w:rsidRPr="005F715D" w:rsidRDefault="005F715D" w:rsidP="005F715D">
      <w:pPr>
        <w:numPr>
          <w:ilvl w:val="0"/>
          <w:numId w:val="1"/>
        </w:numPr>
      </w:pPr>
      <w:r w:rsidRPr="005F715D">
        <w:t xml:space="preserve">When M = 1 or greater, CDR cannot be 0; in this circumstance, CDR = 0.5 when </w:t>
      </w:r>
      <w:proofErr w:type="gramStart"/>
      <w:r w:rsidRPr="005F715D">
        <w:t>the majority of</w:t>
      </w:r>
      <w:proofErr w:type="gramEnd"/>
      <w:r w:rsidRPr="005F715D">
        <w:t xml:space="preserve"> secondary categories are 0.</w:t>
      </w:r>
    </w:p>
    <w:p w14:paraId="24E9EC68" w14:textId="77777777" w:rsidR="005F715D" w:rsidRPr="005F715D" w:rsidRDefault="005F715D" w:rsidP="005F715D">
      <w:r w:rsidRPr="005F715D">
        <w:t>Morris, J.C. (1993). The clinical dementia rating (CDR): Current version and scoring rules. Neurology, 43(11), 2412-2414.</w:t>
      </w:r>
    </w:p>
    <w:p w14:paraId="5A7DB1E0" w14:textId="77777777" w:rsidR="003B5F7B" w:rsidRPr="00D8594F" w:rsidRDefault="003B5F7B"/>
    <w:sectPr w:rsidR="003B5F7B" w:rsidRPr="00D8594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662B1"/>
    <w:multiLevelType w:val="multilevel"/>
    <w:tmpl w:val="DA10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448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94F"/>
    <w:rsid w:val="003B5F7B"/>
    <w:rsid w:val="005D171B"/>
    <w:rsid w:val="005F715D"/>
    <w:rsid w:val="00805F19"/>
    <w:rsid w:val="00D8594F"/>
    <w:rsid w:val="00FD54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4106697"/>
  <w15:chartTrackingRefBased/>
  <w15:docId w15:val="{44E66FB7-8F10-0F4C-8422-31F4C82E1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59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59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594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8594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859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8594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8594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594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8594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8594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8594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8594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8594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8594F"/>
    <w:rPr>
      <w:rFonts w:eastAsiaTheme="majorEastAsia" w:cstheme="majorBidi"/>
      <w:color w:val="0F4761" w:themeColor="accent1" w:themeShade="BF"/>
    </w:rPr>
  </w:style>
  <w:style w:type="character" w:customStyle="1" w:styleId="60">
    <w:name w:val="標題 6 字元"/>
    <w:basedOn w:val="a0"/>
    <w:link w:val="6"/>
    <w:uiPriority w:val="9"/>
    <w:semiHidden/>
    <w:rsid w:val="00D8594F"/>
    <w:rPr>
      <w:rFonts w:eastAsiaTheme="majorEastAsia" w:cstheme="majorBidi"/>
      <w:color w:val="595959" w:themeColor="text1" w:themeTint="A6"/>
    </w:rPr>
  </w:style>
  <w:style w:type="character" w:customStyle="1" w:styleId="70">
    <w:name w:val="標題 7 字元"/>
    <w:basedOn w:val="a0"/>
    <w:link w:val="7"/>
    <w:uiPriority w:val="9"/>
    <w:semiHidden/>
    <w:rsid w:val="00D8594F"/>
    <w:rPr>
      <w:rFonts w:eastAsiaTheme="majorEastAsia" w:cstheme="majorBidi"/>
      <w:color w:val="595959" w:themeColor="text1" w:themeTint="A6"/>
    </w:rPr>
  </w:style>
  <w:style w:type="character" w:customStyle="1" w:styleId="80">
    <w:name w:val="標題 8 字元"/>
    <w:basedOn w:val="a0"/>
    <w:link w:val="8"/>
    <w:uiPriority w:val="9"/>
    <w:semiHidden/>
    <w:rsid w:val="00D8594F"/>
    <w:rPr>
      <w:rFonts w:eastAsiaTheme="majorEastAsia" w:cstheme="majorBidi"/>
      <w:color w:val="272727" w:themeColor="text1" w:themeTint="D8"/>
    </w:rPr>
  </w:style>
  <w:style w:type="character" w:customStyle="1" w:styleId="90">
    <w:name w:val="標題 9 字元"/>
    <w:basedOn w:val="a0"/>
    <w:link w:val="9"/>
    <w:uiPriority w:val="9"/>
    <w:semiHidden/>
    <w:rsid w:val="00D8594F"/>
    <w:rPr>
      <w:rFonts w:eastAsiaTheme="majorEastAsia" w:cstheme="majorBidi"/>
      <w:color w:val="272727" w:themeColor="text1" w:themeTint="D8"/>
    </w:rPr>
  </w:style>
  <w:style w:type="paragraph" w:styleId="a3">
    <w:name w:val="Title"/>
    <w:basedOn w:val="a"/>
    <w:next w:val="a"/>
    <w:link w:val="a4"/>
    <w:uiPriority w:val="10"/>
    <w:qFormat/>
    <w:rsid w:val="00D859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859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59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859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594F"/>
    <w:pPr>
      <w:spacing w:before="160"/>
      <w:jc w:val="center"/>
    </w:pPr>
    <w:rPr>
      <w:i/>
      <w:iCs/>
      <w:color w:val="404040" w:themeColor="text1" w:themeTint="BF"/>
    </w:rPr>
  </w:style>
  <w:style w:type="character" w:customStyle="1" w:styleId="a8">
    <w:name w:val="引文 字元"/>
    <w:basedOn w:val="a0"/>
    <w:link w:val="a7"/>
    <w:uiPriority w:val="29"/>
    <w:rsid w:val="00D8594F"/>
    <w:rPr>
      <w:i/>
      <w:iCs/>
      <w:color w:val="404040" w:themeColor="text1" w:themeTint="BF"/>
    </w:rPr>
  </w:style>
  <w:style w:type="paragraph" w:styleId="a9">
    <w:name w:val="List Paragraph"/>
    <w:basedOn w:val="a"/>
    <w:uiPriority w:val="34"/>
    <w:qFormat/>
    <w:rsid w:val="00D8594F"/>
    <w:pPr>
      <w:ind w:left="720"/>
      <w:contextualSpacing/>
    </w:pPr>
  </w:style>
  <w:style w:type="character" w:styleId="aa">
    <w:name w:val="Intense Emphasis"/>
    <w:basedOn w:val="a0"/>
    <w:uiPriority w:val="21"/>
    <w:qFormat/>
    <w:rsid w:val="00D8594F"/>
    <w:rPr>
      <w:i/>
      <w:iCs/>
      <w:color w:val="0F4761" w:themeColor="accent1" w:themeShade="BF"/>
    </w:rPr>
  </w:style>
  <w:style w:type="paragraph" w:styleId="ab">
    <w:name w:val="Intense Quote"/>
    <w:basedOn w:val="a"/>
    <w:next w:val="a"/>
    <w:link w:val="ac"/>
    <w:uiPriority w:val="30"/>
    <w:qFormat/>
    <w:rsid w:val="00D85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8594F"/>
    <w:rPr>
      <w:i/>
      <w:iCs/>
      <w:color w:val="0F4761" w:themeColor="accent1" w:themeShade="BF"/>
    </w:rPr>
  </w:style>
  <w:style w:type="character" w:styleId="ad">
    <w:name w:val="Intense Reference"/>
    <w:basedOn w:val="a0"/>
    <w:uiPriority w:val="32"/>
    <w:qFormat/>
    <w:rsid w:val="00D8594F"/>
    <w:rPr>
      <w:b/>
      <w:bCs/>
      <w:smallCaps/>
      <w:color w:val="0F4761" w:themeColor="accent1" w:themeShade="BF"/>
      <w:spacing w:val="5"/>
    </w:rPr>
  </w:style>
  <w:style w:type="paragraph" w:styleId="Web">
    <w:name w:val="Normal (Web)"/>
    <w:basedOn w:val="a"/>
    <w:uiPriority w:val="99"/>
    <w:semiHidden/>
    <w:unhideWhenUsed/>
    <w:rsid w:val="00D8594F"/>
    <w:pPr>
      <w:widowControl/>
      <w:spacing w:before="100" w:beforeAutospacing="1" w:after="100" w:afterAutospacing="1" w:line="240" w:lineRule="auto"/>
    </w:pPr>
    <w:rPr>
      <w:rFonts w:ascii="新細明體" w:eastAsia="新細明體" w:hAnsi="新細明體" w:cs="新細明體"/>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ChanLin</dc:creator>
  <cp:keywords/>
  <dc:description/>
  <cp:lastModifiedBy>Chu ChanLin</cp:lastModifiedBy>
  <cp:revision>2</cp:revision>
  <dcterms:created xsi:type="dcterms:W3CDTF">2026-05-09T12:28:00Z</dcterms:created>
  <dcterms:modified xsi:type="dcterms:W3CDTF">2026-05-09T12:32:00Z</dcterms:modified>
</cp:coreProperties>
</file>