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Table 1. Retained 20260909 stroke PAC models: binary performance and stable Part 1 predictors</w:t>
      </w:r>
    </w:p>
    <w:p>
      <w:pPr>
        <w:jc w:val="center"/>
      </w:pPr>
      <w:r>
        <w:rPr>
          <w:sz w:val="16"/>
        </w:rPr>
        <w:t>Panel A summarizes Part 2 IPCW binary classification performance across the retained 20260909 models. Best/Worst columns are hypothetical bounds under assumed labels, while 'Validated' columns are restricted to observed 6MWT4 outcomes only. Panel B shows Part 1 stable bootstrap LASSO coefficients carried forward from the retained 20260904 models, using the same 20260909 ranks, model labels, publication names, and acronyms.</w:t>
      </w:r>
    </w:p>
    <w:p>
      <w:r>
        <w:rPr>
          <w:b/>
        </w:rPr>
        <w:t>Panel A. Part 2 IPCW binary classification performance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shd w:val="clear" w:color="auto" w:fill="1F4E78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Acronym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Publication name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Input vars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Best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Best n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Worst BalAcc [95% CI]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Validated Worst n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Model 5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REhabilitation STroke Outcome Recovery Estimator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21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82.5% [71.6, 88.3]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80.6% [76.5, 86.4]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86.6% [75.0, 89.6]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82.8% [78.9, 87.1]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511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COMPASS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8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COMPrehensive Post-Acute Stroke Score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68.7% [63.0, 82.6]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77.5% [73.8, 82.9]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75.8% [64.3, 81.2]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78.3% [74.8, 82.7]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Clinical And Stroke Complexity Assessment for Discharge Endurance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72.4% [63.7, 80.1]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78.8% [74.6, 83.8]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72.7% [61.0, 77.3]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74.2% [70.5, 78.8]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AIMS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Admission Impairment Mobility Score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82.0% [69.2, 85.0]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81.8% [77.4, 86.8]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77.3% [72.8, 86.4]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81.3% [78.1, 85.5]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  <w:tr>
        <w:trPr>
          <w:shd w:val="clear" w:color="auto" w:fill="EEF4FA"/>
        </w:trPr>
        <w:tc>
          <w:tcPr>
            <w:tcW w:type="dxa" w:w="1130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BEDSIDE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Model 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Balance-Enhanced Demographic Speed Index for Discharge Endurance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76.8% [73.5, 85.8]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82.0% [77.8, 86.8]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80.9% [74.4, 85.8]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83.0% [79.6, 87.1]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N/A</w:t>
            </w:r>
          </w:p>
        </w:tc>
        <w:tc>
          <w:tcPr>
            <w:tcW w:type="dxa" w:w="1130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511</w:t>
            </w:r>
          </w:p>
        </w:tc>
      </w:tr>
    </w:tbl>
    <w:p/>
    <w:p>
      <w:r>
        <w:rPr>
          <w:b/>
        </w:rPr>
        <w:t>Panel B. Part 1 stable bootstrap LASSO coefficients (selection frequency ≥70%)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  <w:gridCol w:w="2448"/>
      </w:tblGrid>
      <w:tr>
        <w:trPr>
          <w:shd w:val="clear" w:color="auto" w:fill="1F4E78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 (Model 5; 21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COMPASS (Model 8; 44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CASCADE (Model 2; 59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AIMS (Model 1; 12 vars)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BEDSIDE (Model 4; 4 vars)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BBS1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+77.72 (10.98) [57.21, 98.78];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+62.54 (10.00) [42.40, 81.97];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+63.94 (9.52) [45.64, 81.84];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+61.23 (9.53) [42.55, 79.89];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+68.60 (8.64) [52.39, 86.17]; 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-32.68 (6.55) [-45.10, -20.00];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-33.85 (6.37) [-45.78, -21.18];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-33.53 (6.22) [-45.19, -20.87];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-39.64 (6.32) [-52.01, -27.24];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-35.10 (5.92) [-46.15, -23.68]; 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Gait_Speed_1_Imputed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+35.60 (9.03) [18.88, 54.17];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+30.26 (8.63) [13.79, 47.14];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+28.54 (8.50) [12.01, 45.78];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+33.06 (8.46) [16.66, 49.35];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+38.29 (8.29) [20.56, 53.03]; 100%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Sex, F0 M1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+16.86 (5.19) [7.29, 27.10];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+15.90 (5.16) [6.10, 25.81];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+15.85 (5.14) [6.07, 25.75];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+15.51 (5.24) [5.19, 25.25];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+17.59 (5.35) [7.43, 27.98]; 100%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FuglUE1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+27.72 (8.43) [11.02, 43.70];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+21.26 (6.67) [7.80, 34.22];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+17.06 (7.30) [2.63, 31.61];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+23.74 (7.18) [10.07, 37.45];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EuroQoL5D1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+24.16 (8.19) [9.05, 41.29];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+8.18 (5.35) [0.00, 18.52]; 92%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+8.49 (5.58) [0.00, 19.64];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+10.67 (5.68) [0.00, 21.48]; 95%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MNA1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-10.94 (6.00) [-22.38, 0.00];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-14.68 (5.77) [-26.00, -3.16];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-14.96 (5.65) [-25.87, -3.05];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-11.89 (5.42) [-22.08, 0.00]; 97%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MRS1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-16.46 (7.94) [-31.61, -0.92]; 98%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-9.56 (6.27) [-21.49, 0.00];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-9.21 (6.49) [-22.46, 0.00];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-6.42 (6.08) [-19.72, 0.54]; 82%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IADL1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+0.46 (5.92) [-10.61, 13.35]; 77%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-5.48 (5.09) [-16.65, 0.00]; 78%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-4.48 (4.91) [-15.97, 0.25]; 71%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-5.10 (5.20) [-16.64, 1.53]; 77%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GIB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+13.70 (4.31) [5.26, 22.12];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+14.84 (5.10) [5.10, 24.19];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OldStroke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-14.49 (5.38) [-24.60, -3.41];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-14.82 (5.27) [-25.78, -4.86];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Dyslipidemia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+9.62 (5.41) [0.00, 20.17];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+9.11 (5.17) [0.00, 19.70];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Loc_Subcortical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-11.13 (5.77) [-21.97, 0.00];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-9.32 (5.50) [-20.20, 0.00]; 94%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CKD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-6.79 (4.21) [-14.90, 0.00]; 93%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-6.77 (4.67) [-16.54, 0.00];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Dementia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-6.01 (3.84) [-13.66, 0.00]; 93%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-4.39 (3.63) [-12.39, 0.00]; 84%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ACA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+6.88 (5.31) [0.00, 18.22];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+8.23 (5.87) [0.00, 21.71]; 91%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Side_Right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+10.17 (6.37) [0.00, 22.32];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+11.21 (7.93) [0.00, 26.91];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Undetermined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-5.60 (4.25) [-14.26, 0.00];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-5.68 (4.14) [-14.66, 0.00]; 88%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CAD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+7.21 (5.63) [0.00, 18.35]; 87%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+5.30 (4.62) [0.00, 15.14];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Cellulitis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-4.85 (4.03) [-13.65, 0.00]; 83%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-5.37 (4.21) [-14.37, 0.00]; 86%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LVS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+5.55 (4.95) [-0.68, 15.83]; 84%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+4.85 (4.66) [-0.22, 15.12];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BBS_T1T2_Change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+32.51 (7.95) [17.14, 48.24]; 100%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MRS_T1T2_Change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-24.47 (8.79) [-41.33, -8.29];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IADL_T1T2_Change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+14.76 (6.54) [1.88, 27.87];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EOMOut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+14.31 (6.43) [1.74, 26.68]; 99%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FuglUE_T1T2_Change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+13.52 (6.23) [0.24, 25.45]; 98%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EuroQoL5D_T1T2_Change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+14.08 (7.54) [0.00, 29.30]; 96%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MNA_T1T2_Change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+8.10 (5.07) [-0.18, 18.34]; 95%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BI_T1T2_Change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-10.27 (8.06) [-27.60, 0.28]; 90%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FuglSEN_T1T2_Change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-5.89 (5.36) [-17.09, 3.03]; 89%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FuglSEN1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-4.67 (5.58) [-16.48, 4.58]; 83%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-8.56 (7.15) [-23.20, 0.00]; 80%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NeglectOut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-1.03 (6.75) [-14.16, 13.09]; 79%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FOIS_T1T2_Change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+3.50 (6.86) [-8.42, 19.73]; 76%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Gout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+3.83 (4.77) [-3.68, 14.75]; 76%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LanguageOut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+4.90 (4.95) [0.00, 16.35]; 74%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FOIS1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+5.30 (5.49) [0.00, 18.28]; 73%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RLOut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-6.84 (7.27) [-23.95, 0.00]; 72%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  <w:tr>
        <w:trPr>
          <w:shd w:val="clear" w:color="auto" w:fill="EEF4FA"/>
        </w:trP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b w:val="0"/>
                <w:sz w:val="14"/>
              </w:rPr>
              <w:t>Psychiatric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-2.31 (2.66) [-8.77, 0.43]; 70%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 w:val="0"/>
                <w:sz w:val="14"/>
              </w:rPr>
              <w:t>—</w:t>
            </w:r>
          </w:p>
        </w:tc>
      </w:tr>
    </w:tbl>
    <w:p/>
    <w:p>
      <w:r>
        <w:rPr>
          <w:b/>
          <w:sz w:val="16"/>
        </w:rPr>
        <w:t xml:space="preserve">Abbreviations. </w:t>
      </w:r>
      <w:r>
        <w:rPr>
          <w:sz w:val="16"/>
        </w:rPr>
        <w:t>PAC = post-acute care; IPCW = inverse probability of completion weighting; CI = percentile bootstrap 95% confidence interval; Se = sensitivity; Sp = specificity; BalAcc = balanced accuracy; NIHSS = National Institutes of Health Stroke Scale. Panel B cells are formatted as Boot Mean Coef (Boot SD) [95% CI]; selection frequency.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