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RESTORE vs BEDSIDE Week-3 paired comparison (20260920_RESTORE_Compare_0002)</w:t>
      </w:r>
    </w:p>
    <w:p>
      <w:r>
        <w:rPr>
          <w:sz w:val="18"/>
        </w:rPr>
        <w:t>Required revision implemented: BEDSIDE and RESTORE were compared within the same Week-3-eligible cohort using identical 5-fold cross-validation splits.</w:t>
      </w:r>
    </w:p>
    <w:p>
      <w:r>
        <w:t>Population counts: BEDSIDE standalone denominator=511, RESTORE standalone denominator=456, paired Week-3 denominator=456.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Standalone (different populations)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OOF MAE (m)</w:t>
            </w:r>
          </w:p>
        </w:tc>
        <w:tc>
          <w:tcPr>
            <w:tcW w:type="dxa" w:w="2160"/>
          </w:tcPr>
          <w:p>
            <w:r>
              <w:t>OOF R²</w:t>
            </w:r>
          </w:p>
        </w:tc>
      </w:tr>
      <w:tr>
        <w:tc>
          <w:tcPr>
            <w:tcW w:type="dxa" w:w="2160"/>
          </w:tcPr>
          <w:p>
            <w:r>
              <w:t>BEDSIDE (admission-only)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95.35</w:t>
            </w:r>
          </w:p>
        </w:tc>
        <w:tc>
          <w:tcPr>
            <w:tcW w:type="dxa" w:w="2160"/>
          </w:tcPr>
          <w:p>
            <w:r>
              <w:t>0.4836</w:t>
            </w:r>
          </w:p>
        </w:tc>
      </w:tr>
      <w:tr>
        <w:tc>
          <w:tcPr>
            <w:tcW w:type="dxa" w:w="2160"/>
          </w:tcPr>
          <w:p>
            <w:r>
              <w:t>RESTORE (Week-3 update)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89.29</w:t>
            </w:r>
          </w:p>
        </w:tc>
        <w:tc>
          <w:tcPr>
            <w:tcW w:type="dxa" w:w="2160"/>
          </w:tcPr>
          <w:p>
            <w:r>
              <w:t>0.5467</w:t>
            </w:r>
          </w:p>
        </w:tc>
      </w:tr>
    </w:tbl>
    <w:p>
      <w:r>
        <w:t>The standalone values above are on different denominators and are not used to claim incremental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Paired Week-3 comparison (same N, same folds)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OOF MAE (m)</w:t>
            </w:r>
          </w:p>
        </w:tc>
        <w:tc>
          <w:tcPr>
            <w:tcW w:type="dxa" w:w="2160"/>
          </w:tcPr>
          <w:p>
            <w:r>
              <w:t>OOF R²</w:t>
            </w:r>
          </w:p>
        </w:tc>
      </w:tr>
      <w:tr>
        <w:tc>
          <w:tcPr>
            <w:tcW w:type="dxa" w:w="2160"/>
          </w:tcPr>
          <w:p>
            <w:r>
              <w:t>BEDSIDE (admission-only)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96.73</w:t>
            </w:r>
          </w:p>
        </w:tc>
        <w:tc>
          <w:tcPr>
            <w:tcW w:type="dxa" w:w="2160"/>
          </w:tcPr>
          <w:p>
            <w:r>
              <w:t>0.4812</w:t>
            </w:r>
          </w:p>
        </w:tc>
      </w:tr>
      <w:tr>
        <w:tc>
          <w:tcPr>
            <w:tcW w:type="dxa" w:w="2160"/>
          </w:tcPr>
          <w:p>
            <w:r>
              <w:t>RESTORE (admission + Week-3 information)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89.29</w:t>
            </w:r>
          </w:p>
        </w:tc>
        <w:tc>
          <w:tcPr>
            <w:tcW w:type="dxa" w:w="2160"/>
          </w:tcPr>
          <w:p>
            <w:r>
              <w:t>0.5467</w:t>
            </w:r>
          </w:p>
        </w:tc>
      </w:tr>
      <w:tr>
        <w:tc>
          <w:tcPr>
            <w:tcW w:type="dxa" w:w="2160"/>
          </w:tcPr>
          <w:p>
            <w:r>
              <w:t>Paired difference (RESTORE incremental value)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ΔMAE (BEDSIDE−RESTORE)=7.44 [3.14, 11.85]</w:t>
            </w:r>
          </w:p>
        </w:tc>
        <w:tc>
          <w:tcPr>
            <w:tcW w:type="dxa" w:w="2160"/>
          </w:tcPr>
          <w:p>
            <w:r>
              <w:t>ΔR² (RESTORE−BEDSIDE)=0.0655 [0.0236, 0.1084]</w:t>
            </w:r>
          </w:p>
        </w:tc>
      </w:tr>
    </w:tbl>
    <w:p>
      <w:r>
        <w:rPr>
          <w:sz w:val="18"/>
        </w:rPr>
        <w:t>Interpretation: within identical Week-3-eligible participants and identical CV folds, RESTORE improved MAE and R² versus BEDSIDE, supporting added predictive value from Week-3 information.</w:t>
      </w:r>
    </w:p>
    <w:p>
      <w:r>
        <w:rPr>
          <w:sz w:val="18"/>
        </w:rPr>
        <w:t>Confidence intervals were generated with paired patient-level bootstrap (5000 valid resamples).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