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Internal performance differences across retained models were modest enough that the publication-facing comparison now emphasizes clinical parsimony rather than point-estimate rank. BEDSIDE is presented as the primary deployment model and AIMS as the secondary option because, relative to RESTORE, their weighted out-of-fold R² differed by -0.0551 and -0.0535, while weighted out-of-fold MAE increased by only +5.7 m and +5.3 m. Continuous calibration remained reasonably close to ideal across retained models (slopes 0.921-0.997; intercepts 1.2-26.5 m), but weighted out-of-fold MAE still ranged from 89.3 to 95.0 m, exceeding the 20.0-34.4 m 6MWT MCID benchmarks. The larger comparison models operated at COMPASS at 11.6 observations per variable with 9 stable predictors at 70-89% selection frequency; CASCADE at 8.7 observations per variable with 14 stable predictors at 70-89% selection frequency, and up to 6 stable predictors unique to a single complex model, supporting the interpretation that added complexity mainly reflects coefficient instability. Collinearity diagnostics showed a strong physiologic correlation between BBS1 and Gait_Speed_1 (r=0.793) but only moderate VIFs (BBS1 3.01, Gait_Speed_1 2.71, Age 1.14, FuglUE1 1.33). These findings remain based on internal validation only and should be treated as provisional until tested in a distinct external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