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For publication-facing tables, retained models were reframed as statistically comparable rather than definitively rank ordered. The clinically parsimonious presentation now leads with BEDSIDE (4 variables) and AIMS (12 variables), while the original point-estimate ordering is preserved only as a supplementary reference. Continuous-model calibration was added by refitting the retained IPCW-weighted Ridge models with the original 5-fold out-of-fold procedure among completers, then estimating calibration intercept and slope from weighted linear recalibration of observed 6MWT4 on out-of-fold predictions. Decile-based calibration plots were generated for each retained model. To address overfitting concerns, we report outcome observations per variable together with stable-predictor frequency bands and model-unique stable predictors for the larger COMPASS and CASCADE models. Clinical interpretability was strengthened by benchmarking weighted out-of-fold MAE against previously used stroke-relevant 6MWT MCID anchors (20.0 m and 34.4 m) and by adding correlation/VIF diagnostics for BBS1, Gait_Speed_1, Age, and FuglUE1. No temporally or geographically distinct external validation cohort was available, so the revised documents now state explicitly that internal cross-validation and weighted out-of-fold estimates do not substitute for external validation before final model selection.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