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Publication Tables</w:t>
      </w:r>
    </w:p>
    <w:p>
      <w:pPr>
        <w:jc w:val="center"/>
      </w:pPr>
      <w:r>
        <w:rPr>
          <w:sz w:val="16"/>
        </w:rPr>
        <w:t>Models are presented in clinical deployment order rather than point-estimate rank because the internal balanced-accuracy intervals are broadly overlapping and do not support a definitive superiority claim.</w:t>
      </w:r>
    </w:p>
    <w:p>
      <w:pPr>
        <w:jc w:val="center"/>
      </w:pPr>
      <w:r>
        <w:rPr>
          <w:sz w:val="16"/>
        </w:rPr>
        <w:t>BEDSIDE is the primary deployment recommendation and AIMS is the secondary recommendation because both preserve internal performance within about 0.06 weighted OOF R² and 6 m weighted OOF MAE of the larger retained models while using far fewer predictors.</w:t>
      </w:r>
    </w:p>
    <w:p>
      <w:pPr>
        <w:jc w:val="center"/>
      </w:pPr>
      <w:r>
        <w:rPr>
          <w:b/>
          <w:sz w:val="20"/>
        </w:rPr>
        <w:t>Table 1. Clinically ordered comparison of the 5 retained models</w:t>
      </w:r>
    </w:p>
    <w:p>
      <w:pPr>
        <w:jc w:val="center"/>
      </w:pPr>
      <w:r>
        <w:rPr>
          <w:sz w:val="16"/>
        </w:rPr>
        <w:t>Rows are intentionally ordered by clinical parsimony. Calibration metrics are from weighted out-of-fold predictions among completers; balanced accuracy is still shown for the Best and Worst non-completer walking scenarios.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  <w:gridCol w:w="1029"/>
      </w:tblGrid>
      <w:tr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Clinical role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Acronym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Publication name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Input vars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Part 1 CV R²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Part 1 MAE (m)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Part 2 weighted OOF R²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Part 2 weighted OOF MAE (m)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Δ vs RESTORE R²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Δ vs RESTORE MAE (m)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Calibration intercept (m)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Calibration slope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Best BalAcc [95% CI]</w:t>
            </w:r>
          </w:p>
        </w:tc>
        <w:tc>
          <w:tcPr>
            <w:tcW w:type="dxa" w:w="1029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Worst BalAcc [95% CI]</w:t>
            </w:r>
          </w:p>
        </w:tc>
      </w:tr>
      <w:tr>
        <w:tc>
          <w:tcPr>
            <w:tcW w:type="dxa" w:w="102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Primary recommendation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BEDSIDE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Balance-Enhanced Demographic Speed Index for Discharge Endurance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4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0.4836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95.35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0.4906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95.0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-0.0551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+5.7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1.2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0.997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82.0% [77.8, 86.8]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83.0% [79.6, 87.1]</w:t>
            </w:r>
          </w:p>
        </w:tc>
      </w:tr>
      <w:tr>
        <w:tc>
          <w:tcPr>
            <w:tcW w:type="dxa" w:w="102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Secondary recommendation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AIMS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Admission Impairment Mobility Score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12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0.4906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95.07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0.4922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94.6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-0.0535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+5.3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9.3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0.972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81.8% [77.4, 86.8]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81.3% [78.1, 85.5]</w:t>
            </w:r>
          </w:p>
        </w:tc>
      </w:tr>
      <w:tr>
        <w:tc>
          <w:tcPr>
            <w:tcW w:type="dxa" w:w="102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Reference trajectory model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RESTORE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REhabilitation STroke Outcome Recovery Estimator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21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0.5467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89.29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0.5457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89.3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+0.0000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+0.0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10.2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0.965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80.6% [76.5, 86.4]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82.8% [78.9, 87.1]</w:t>
            </w:r>
          </w:p>
        </w:tc>
      </w:tr>
      <w:tr>
        <w:tc>
          <w:tcPr>
            <w:tcW w:type="dxa" w:w="102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Complexity-sensitive comparison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COMPASS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COMPrehensive Post-Acute Stroke Score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44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0.5148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92.09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0.5150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92.0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-0.0307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+2.7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21.0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0.937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77.5% [73.8, 82.9]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78.3% [74.8, 82.7]</w:t>
            </w:r>
          </w:p>
        </w:tc>
      </w:tr>
      <w:tr>
        <w:tc>
          <w:tcPr>
            <w:tcW w:type="dxa" w:w="1029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Complexity-sensitive comparison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CASCADE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Clinical And Stroke Complexity Assessment for Discharge Endurance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59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0.5154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92.05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0.5098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92.4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-0.0359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+3.1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26.5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0.921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78.8% [74.6, 83.8]</w:t>
            </w:r>
          </w:p>
        </w:tc>
        <w:tc>
          <w:tcPr>
            <w:tcW w:type="dxa" w:w="1029"/>
            <w:vAlign w:val="center"/>
          </w:tcPr>
          <w:p>
            <w:pPr>
              <w:jc w:val="center"/>
            </w:pPr>
            <w:r>
              <w:rPr>
                <w:sz w:val="14"/>
              </w:rPr>
              <w:t>74.2% [70.5, 78.8]</w:t>
            </w:r>
          </w:p>
        </w:tc>
      </w:tr>
    </w:tbl>
    <w:p/>
    <w:p>
      <w:pPr>
        <w:jc w:val="center"/>
      </w:pPr>
      <w:r>
        <w:rPr>
          <w:b/>
          <w:sz w:val="20"/>
        </w:rPr>
        <w:t>Table 2. Stable predictors shared across retained models</w:t>
      </w:r>
    </w:p>
    <w:p>
      <w:pPr>
        <w:jc w:val="center"/>
      </w:pPr>
      <w:r>
        <w:rPr>
          <w:sz w:val="16"/>
        </w:rPr>
        <w:t>Rows are stable predictors retained in at least 2 models. Cells show bootstrap mean standardized β and selection frequency, reordered to place the parsimonious deployment models first.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BEDSIDE (n=4)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AIMS (n=12)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RESTORE (n=21)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COMPASS (n=44)</w:t>
            </w:r>
          </w:p>
        </w:tc>
        <w:tc>
          <w:tcPr>
            <w:tcW w:type="dxa" w:w="2400"/>
            <w:shd w:fill="1F4E78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CASCADE (n=59)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BBS1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68.6;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61.2;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77.7;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62.5;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63.9;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Age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-35.1;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-39.6;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-32.7;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-33.9;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-33.5;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Gait_Speed_1_Imputed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38.3;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33.1;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35.6;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30.3;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28.5;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Sex, F0 M1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17.6;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15.5;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16.9;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15.9;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15.8;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FuglUE1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23.7;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27.7;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21.3;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17.1; 99%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EuroQoL5D1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10.7; 95%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24.2;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8.2; 92%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8.5; 91%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MNA1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-11.9; 97%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-10.9;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-14.7; 99%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-15.0; 99%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MRS1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-6.4; 82%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-16.5; 98%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-9.6; 91%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-9.2; 89%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IADL1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-5.1; 77%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0.5; 77%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-5.5; 78%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-4.5; 71%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GIB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13.7;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14.8;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OldStroke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-14.5; 100%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-14.8; 100%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Dyslipidemia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9.6;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9.1; 96%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Loc_Subcortical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-11.1; 96%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-9.3; 94%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CKD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-6.8; 93%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-6.8; 89%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Dementia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-6.0; 93%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-4.4; 84%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ACA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6.9;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8.2; 91%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Side_Right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10.2; 89%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11.2; 87%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Undetermined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-5.6;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-5.7; 88%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CAD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7.2; 87%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5.3; 80%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Cellulitis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-4.9; 83%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-5.4; 86%</w:t>
            </w:r>
          </w:p>
        </w:tc>
      </w:tr>
      <w:tr>
        <w:tc>
          <w:tcPr>
            <w:tcW w:type="dxa" w:w="2400"/>
            <w:shd w:fill="EAF2F8"/>
            <w:vAlign w:val="center"/>
          </w:tcPr>
          <w:p>
            <w:pPr>
              <w:jc w:val="left"/>
            </w:pPr>
            <w:r>
              <w:rPr>
                <w:sz w:val="14"/>
              </w:rPr>
              <w:t>LVS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5.6; 84%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sz w:val="14"/>
              </w:rPr>
              <w:t>4.8; 80%</w:t>
            </w:r>
          </w:p>
        </w:tc>
      </w:tr>
    </w:tbl>
    <w:p/>
    <w:p>
      <w:r>
        <w:rPr>
          <w:b/>
          <w:sz w:val="16"/>
        </w:rPr>
        <w:t xml:space="preserve">Abbreviations. </w:t>
      </w:r>
      <w:r>
        <w:rPr>
          <w:sz w:val="16"/>
        </w:rPr>
        <w:t>BalAcc = balanced accuracy; MAE = mean absolute error; OOF = out of fold; SF = selection frequency.</w:t>
      </w:r>
    </w:p>
    <w:sectPr w:rsidR="00FC693F" w:rsidRPr="0006063C" w:rsidSect="00034616"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