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78B9" w14:textId="12447F90" w:rsidR="00F628B1" w:rsidRPr="00F628B1" w:rsidRDefault="00F628B1" w:rsidP="00F628B1">
      <w:r w:rsidRPr="00F628B1">
        <w:t>The </w:t>
      </w:r>
      <w:r w:rsidRPr="00F628B1">
        <w:rPr>
          <w:b/>
          <w:bCs/>
        </w:rPr>
        <w:t>Gruber et al. sample-size-adaptive truncation strategy</w:t>
      </w:r>
      <w:r w:rsidRPr="00F628B1">
        <w:t> sets the upper bound on IP weights as a function of [1]</w:t>
      </w:r>
      <m:oMath>
        <m:r>
          <w:rPr>
            <w:rFonts w:ascii="Cambria Math" w:hAnsi="Cambria Math"/>
          </w:rPr>
          <m:t>n</m:t>
        </m:r>
      </m:oMath>
      <w:r w:rsidRPr="00F628B1">
        <w:t> rather than an arbitrary fixed quantile, because fixed quantile-based truncation ("the popular but flawed quantile-based heuristic") does not adapt to sample size and can introduce asymptotic bias that eventually swamps variance as </w:t>
      </w:r>
      <m:oMath>
        <m:r>
          <w:rPr>
            <w:rFonts w:ascii="Cambria Math" w:hAnsi="Cambria Math"/>
          </w:rPr>
          <m:t>n</m:t>
        </m:r>
      </m:oMath>
      <w:r w:rsidRPr="00F628B1">
        <w:t> grows.</w:t>
      </w:r>
    </w:p>
    <w:p w14:paraId="213625BA" w14:textId="77777777" w:rsidR="00F628B1" w:rsidRPr="00F628B1" w:rsidRDefault="00F628B1" w:rsidP="00F628B1">
      <w:r w:rsidRPr="00F628B1">
        <w:rPr>
          <w:b/>
          <w:bCs/>
        </w:rPr>
        <w:t>Formula</w:t>
      </w:r>
    </w:p>
    <w:p w14:paraId="35522637" w14:textId="77777777" w:rsidR="00F628B1" w:rsidRPr="00F628B1" w:rsidRDefault="00F628B1" w:rsidP="00F628B1">
      <w:r w:rsidRPr="00F628B1">
        <w:t>For IPW estimators, the upper bound on the IP weight is:</w:t>
      </w:r>
    </w:p>
    <w:p w14:paraId="2B90D70F" w14:textId="03C7658E" w:rsidR="00F628B1" w:rsidRPr="00F628B1" w:rsidRDefault="00F628B1" w:rsidP="00F628B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6E973470" w14:textId="77777777" w:rsidR="00F628B1" w:rsidRPr="00F628B1" w:rsidRDefault="00F628B1" w:rsidP="00F628B1">
      <w:r w:rsidRPr="00F628B1">
        <w:t>For TMLE, the corresponding lower bound on the propensity score is:</w:t>
      </w:r>
    </w:p>
    <w:p w14:paraId="39C38C4C" w14:textId="5FDFA11E" w:rsidR="00F628B1" w:rsidRPr="00F628B1" w:rsidRDefault="00F628B1" w:rsidP="00F628B1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den>
          </m:f>
          <m:r>
            <w:br/>
          </m:r>
        </m:oMath>
      </m:oMathPara>
    </w:p>
    <w:p w14:paraId="1DEA10C2" w14:textId="4D92F83B" w:rsidR="00F628B1" w:rsidRPr="00F628B1" w:rsidRDefault="00F628B1" w:rsidP="00F628B1">
      <w:r w:rsidRPr="00F628B1">
        <w:t>Any estimated weight exceeding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F628B1">
        <w:t> (or, equivalently, a propensity score falling below 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F628B1">
        <w:t> on either tail) is truncated to that boundary value rather than discarded, preserving sample size while limiting the influence of extreme weights. This threshold was derived to minimize mean-squared error of the causal effect estimate and was shown in Gruber et al.'s simulations and applied data analysis to outperform fixed quantile-based trimming (e.g., 1st/99th percentile) on both bias and MSE. [1]</w:t>
      </w:r>
    </w:p>
    <w:p w14:paraId="3791B174" w14:textId="77777777" w:rsidR="00F628B1" w:rsidRPr="00F628B1" w:rsidRDefault="00F628B1" w:rsidP="00F628B1">
      <w:r w:rsidRPr="00F628B1">
        <w:rPr>
          <w:b/>
          <w:bCs/>
        </w:rPr>
        <w:t>Applied to a cohort of n = 633</w:t>
      </w:r>
    </w:p>
    <w:p w14:paraId="6B5173D9" w14:textId="275503C0" w:rsidR="00F628B1" w:rsidRPr="00F628B1" w:rsidRDefault="00F628B1" w:rsidP="00F628B1">
      <w:r w:rsidRPr="00F628B1">
        <w:t>For </w:t>
      </w:r>
      <m:oMath>
        <m:r>
          <w:rPr>
            <w:rFonts w:ascii="Cambria Math" w:hAnsi="Cambria Math"/>
          </w:rPr>
          <m:t>n=633</m:t>
        </m:r>
      </m:oMath>
      <w:r w:rsidRPr="00F628B1">
        <w:t>: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>≈25.16</m:t>
        </m:r>
      </m:oMath>
      <w:r w:rsidRPr="00F628B1">
        <w:t>, 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≈6.45</m:t>
        </m:r>
      </m:oMath>
      <w:r w:rsidRPr="00F628B1">
        <w:t>, giving:</w:t>
      </w:r>
    </w:p>
    <w:p w14:paraId="2ED63B54" w14:textId="6D64BA65" w:rsidR="00F628B1" w:rsidRPr="00F628B1" w:rsidRDefault="00F628B1" w:rsidP="00F628B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25.16×6.45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≈32.5</m:t>
          </m:r>
          <m:r>
            <w:rPr>
              <w:i/>
            </w:rPr>
            <w:br/>
          </m:r>
        </m:oMath>
      </m:oMathPara>
    </w:p>
    <w:p w14:paraId="6BAEC3C7" w14:textId="7C9DF0A4" w:rsidR="00F628B1" w:rsidRPr="00F628B1" w:rsidRDefault="00F628B1" w:rsidP="00F628B1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32.5</m:t>
              </m:r>
            </m:den>
          </m:f>
          <m:r>
            <w:rPr>
              <w:rFonts w:ascii="Cambria Math" w:hAnsi="Cambria Math"/>
            </w:rPr>
            <m:t>≈0.154</m:t>
          </m:r>
          <m:r>
            <w:rPr>
              <w:i/>
            </w:rPr>
            <w:br/>
          </m:r>
        </m:oMath>
      </m:oMathPara>
    </w:p>
    <w:p w14:paraId="2A99A753" w14:textId="77777777" w:rsidR="00F628B1" w:rsidRPr="00F628B1" w:rsidRDefault="00F628B1" w:rsidP="00F628B1">
      <w:r w:rsidRPr="00F628B1">
        <w:rPr>
          <w:b/>
          <w:bCs/>
        </w:rPr>
        <w:t>Implementation steps for this cohort:</w:t>
      </w:r>
    </w:p>
    <w:p w14:paraId="63B4E2B5" w14:textId="77777777" w:rsidR="00F628B1" w:rsidRPr="00F628B1" w:rsidRDefault="00F628B1" w:rsidP="00F628B1">
      <w:pPr>
        <w:numPr>
          <w:ilvl w:val="0"/>
          <w:numId w:val="1"/>
        </w:numPr>
      </w:pPr>
      <w:r w:rsidRPr="00F628B1">
        <w:lastRenderedPageBreak/>
        <w:t>Estimate propensity scores (or exposure probabilities) for </w:t>
      </w:r>
      <w:proofErr w:type="spellStart"/>
      <w:r w:rsidRPr="00F628B1">
        <w:t>Rehab_LOS</w:t>
      </w:r>
      <w:proofErr w:type="spellEnd"/>
      <w:r w:rsidRPr="00F628B1">
        <w:t xml:space="preserve"> &gt; 42</w:t>
      </w:r>
      <w:r w:rsidRPr="00F628B1">
        <w:t>天</w:t>
      </w:r>
      <w:r w:rsidRPr="00F628B1">
        <w:t> and MNA1 &lt; 24 using the specified exposure model.</w:t>
      </w:r>
    </w:p>
    <w:p w14:paraId="2D6A2581" w14:textId="77777777" w:rsidR="00F628B1" w:rsidRPr="00F628B1" w:rsidRDefault="00F628B1" w:rsidP="00F628B1">
      <w:pPr>
        <w:numPr>
          <w:ilvl w:val="0"/>
          <w:numId w:val="1"/>
        </w:numPr>
      </w:pPr>
      <w:r w:rsidRPr="00F628B1">
        <w:t xml:space="preserve">Compute the raw stabilized or </w:t>
      </w:r>
      <w:proofErr w:type="spellStart"/>
      <w:r w:rsidRPr="00F628B1">
        <w:t>unstabilized</w:t>
      </w:r>
      <w:proofErr w:type="spellEnd"/>
      <w:r w:rsidRPr="00F628B1">
        <w:t xml:space="preserve"> IP weights.</w:t>
      </w:r>
    </w:p>
    <w:p w14:paraId="5C2D80FB" w14:textId="77777777" w:rsidR="00F628B1" w:rsidRPr="00F628B1" w:rsidRDefault="00F628B1" w:rsidP="00F628B1">
      <w:pPr>
        <w:numPr>
          <w:ilvl w:val="0"/>
          <w:numId w:val="1"/>
        </w:numPr>
      </w:pPr>
      <w:r w:rsidRPr="00F628B1">
        <w:t>For IPTW: truncate any weight exceeding </w:t>
      </w:r>
      <w:r w:rsidRPr="00F628B1">
        <w:rPr>
          <w:b/>
          <w:bCs/>
        </w:rPr>
        <w:t>≈32.5</w:t>
      </w:r>
      <w:r w:rsidRPr="00F628B1">
        <w:t xml:space="preserve"> to this value (rather than dropping the </w:t>
      </w:r>
      <w:proofErr w:type="gramStart"/>
      <w:r w:rsidRPr="00F628B1">
        <w:t>subject) —</w:t>
      </w:r>
      <w:proofErr w:type="gramEnd"/>
      <w:r w:rsidRPr="00F628B1">
        <w:t xml:space="preserve"> this replaces the previously proposed 1%/9% quantile cutoff.</w:t>
      </w:r>
    </w:p>
    <w:p w14:paraId="58BA0316" w14:textId="77777777" w:rsidR="00F628B1" w:rsidRPr="00F628B1" w:rsidRDefault="00F628B1" w:rsidP="00F628B1">
      <w:pPr>
        <w:numPr>
          <w:ilvl w:val="0"/>
          <w:numId w:val="1"/>
        </w:numPr>
      </w:pPr>
      <w:r w:rsidRPr="00F628B1">
        <w:t>For TMLE (if used as an additional sensitivity check): bound the propensity score away from 0 and 1 using </w:t>
      </w:r>
      <w:proofErr w:type="spellStart"/>
      <w:r w:rsidRPr="00F628B1">
        <w:rPr>
          <w:b/>
          <w:bCs/>
        </w:rPr>
        <w:t>PS_min</w:t>
      </w:r>
      <w:proofErr w:type="spellEnd"/>
      <w:r w:rsidRPr="00F628B1">
        <w:rPr>
          <w:b/>
          <w:bCs/>
        </w:rPr>
        <w:t xml:space="preserve"> ≈ 0.154</w:t>
      </w:r>
      <w:r w:rsidRPr="00F628B1">
        <w:t> on the lower tail (and correspondingly 1 − 0.154 ≈ 0.846 on the upper tail), so any estimated PS outside [0.154, 0.846] is truncated to the nearest bound.</w:t>
      </w:r>
    </w:p>
    <w:p w14:paraId="73153E07" w14:textId="77777777" w:rsidR="00F628B1" w:rsidRPr="00F628B1" w:rsidRDefault="00F628B1" w:rsidP="00F628B1">
      <w:pPr>
        <w:numPr>
          <w:ilvl w:val="0"/>
          <w:numId w:val="1"/>
        </w:numPr>
      </w:pPr>
      <w:r w:rsidRPr="00F628B1">
        <w:t>Report the number and proportion of subjects truncated at each bound, alongside ESS before/after truncation, since Gruber et al.'s method still requires this diagnostic to confirm the trade-off between bias and variance was appropriately managed</w:t>
      </w:r>
    </w:p>
    <w:p w14:paraId="641E71C4" w14:textId="77777777" w:rsidR="00F628B1" w:rsidRPr="00F628B1" w:rsidRDefault="00F628B1" w:rsidP="00F628B1"/>
    <w:p w14:paraId="68898A66" w14:textId="77777777" w:rsidR="00F628B1" w:rsidRDefault="00F628B1" w:rsidP="00F628B1">
      <w:pPr>
        <w:rPr>
          <w:rFonts w:hint="eastAsia"/>
        </w:rPr>
      </w:pPr>
    </w:p>
    <w:p w14:paraId="7EFF594C" w14:textId="77777777" w:rsidR="00F628B1" w:rsidRPr="005A7D06" w:rsidRDefault="00F628B1" w:rsidP="00F628B1">
      <w:r w:rsidRPr="00552394">
        <w:t> run </w:t>
      </w:r>
      <w:r w:rsidRPr="00552394">
        <w:rPr>
          <w:b/>
          <w:bCs/>
        </w:rPr>
        <w:t>G-computation (or SCMM) as the primary analysis</w:t>
      </w:r>
      <w:r w:rsidRPr="00552394">
        <w:t> for both exposures, and present </w:t>
      </w:r>
      <w:r w:rsidRPr="00552394">
        <w:rPr>
          <w:b/>
          <w:bCs/>
        </w:rPr>
        <w:t>MSM-IPTW or propensity-matching as a sensitivity analysis</w:t>
      </w:r>
      <w:r w:rsidRPr="00552394">
        <w:t>, checking propensity-score overlap and effective sample size after weighting/trimming explicitly before trusting the PS-based estimate.</w:t>
      </w:r>
    </w:p>
    <w:p w14:paraId="388C9EC6" w14:textId="77777777" w:rsidR="0015519E" w:rsidRDefault="0015519E"/>
    <w:p w14:paraId="30DDF87D" w14:textId="77777777" w:rsidR="00F628B1" w:rsidRPr="00F628B1" w:rsidRDefault="00F628B1"/>
    <w:sectPr w:rsidR="00F628B1" w:rsidRPr="00F628B1" w:rsidSect="00F628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DCA"/>
    <w:multiLevelType w:val="multilevel"/>
    <w:tmpl w:val="975C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37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B1"/>
    <w:rsid w:val="0015519E"/>
    <w:rsid w:val="0044305F"/>
    <w:rsid w:val="007E1728"/>
    <w:rsid w:val="009D4F70"/>
    <w:rsid w:val="00F6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F99A"/>
  <w15:chartTrackingRefBased/>
  <w15:docId w15:val="{4AEBFF96-8372-4093-924E-2EE656F8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8B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28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8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8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8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8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8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8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28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28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28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28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28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28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2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8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8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2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28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8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8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28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2026-08-05T23:05:00Z</dcterms:created>
  <dcterms:modified xsi:type="dcterms:W3CDTF">2026-08-06T03:18:00Z</dcterms:modified>
</cp:coreProperties>
</file>