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Table. Unadjusted and IPCW-Adjusted LassoCV Predictor Coefficients for 6MWT at Discharge (T4)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shd w:val="clear" w:color="auto" w:fill="2E4057"/>
        </w:trP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Unadjusted</w:t>
            </w:r>
          </w:p>
        </w:tc>
        <w:tc>
          <w:tcPr>
            <w:tcW w:type="dxa" w:w="3840"/>
            <w:gridSpan w:val="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IPCW-Adjusted</w:t>
            </w:r>
          </w:p>
        </w:tc>
      </w:tr>
      <w:tr>
        <w:trPr>
          <w:shd w:val="clear" w:color="auto" w:fill="4A90D9"/>
        </w:trP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Sel. Freq.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Sel. Freq.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BBS1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64.534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[42.538, 82.082]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64.902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[43.071, 82.137]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&lt;0.001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Gait_Speed_1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29.542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[13.755, 45.980]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29.246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[13.521, 45.856]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FuglUE1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19.246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[2.389, 29.336]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20.449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[3.014, 30.605]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0.99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Sex, F0 M1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15.962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[5.665, 26.080]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15.914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[5.980, 26.302]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EOMOut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12.802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[1.010, 27.818]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11.401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26.808]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0.97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Side_Right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10.457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27.808]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11.362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28.874]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0.86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GIB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11.781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[4.543, 22.808]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10.991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[3.927, 22.461]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Dyslipidemia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8.557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19.334]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8.311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19.200]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0.95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ACA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6.223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20.883]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5.352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21.278]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0.86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EuroQoL5D1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19.615]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4.834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19.443]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0.90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CAD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3.452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14.660]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4.246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14.934]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0.82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LVS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2.082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[-0.000, 14.466]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1.399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[-0.045, 14.102]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0.74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tPAIA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8.199]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9.177]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0.836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0.59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Gout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[-4.741, 12.143]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0.874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[-4.258, 12.549]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0.832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0.70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Loc_Infratentorial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14.986]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0.896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14.878]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0.54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LanguageOut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20.264]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20.595]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0.74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FOIS1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[0.000, 16.907]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[-0.333, 16.119]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0.68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Psychiatric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-0.407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[-6.558, 1.232]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-0.725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[-6.699, 0.875]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0.52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RLOut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-1.748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[-21.768,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-1.251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[-21.845,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0.69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Undetermined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-3.463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[-13.352,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-3.098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[-12.965,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0.88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Cellulitis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-3.652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[-13.323,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-3.202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[-13.210,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0.81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Dementia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-4.129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[-11.603,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-3.885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[-11.228,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0.80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LLOut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-5.552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[-23.684,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-5.251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[-23.365,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0.78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CKD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-4.174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[-14.633,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-5.264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[-14.961,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0.90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MRS1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-6.054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[-21.819,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-5.783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[-21.753,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0.88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MNA1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-11.331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[-25.045, -2.922]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-11.597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[-25.274, -2.783]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0.99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Loc_Subcortical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-12.332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[-21.652,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-12.328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[-21.254, 0.000]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0.95</w:t>
            </w:r>
          </w:p>
        </w:tc>
      </w:tr>
      <w:tr>
        <w:trPr>
          <w:shd w:val="clear" w:color="auto" w:fill="FFFFFF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OldStroke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-13.151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[-24.995, -3.789]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-12.970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[-24.712, -3.388]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0.010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0.99</w:t>
            </w:r>
          </w:p>
        </w:tc>
      </w:tr>
      <w:tr>
        <w:trPr>
          <w:shd w:val="clear" w:color="auto" w:fill="F2F2F2"/>
        </w:trPr>
        <w:tc>
          <w:tcPr>
            <w:tcW w:type="dxa" w:w="960"/>
          </w:tcPr>
          <w:p>
            <w:pPr>
              <w:jc w:val="left"/>
            </w:pPr>
            <w:r>
              <w:rPr>
                <w:sz w:val="18"/>
              </w:rPr>
              <w:t>Age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-31.426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[-44.436, -21.517]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-30.516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[-44.014, -20.339]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  <w:sz w:val="18"/>
              </w:rPr>
              <w:t>&lt;0.001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1.00</w:t>
            </w:r>
          </w:p>
        </w:tc>
      </w:tr>
    </w:tbl>
    <w:p/>
    <w:p>
      <w:r>
        <w:rPr>
          <w:b/>
          <w:sz w:val="16"/>
        </w:rPr>
        <w:t xml:space="preserve">Legend. </w:t>
      </w:r>
      <w:r>
        <w:rPr>
          <w:sz w:val="16"/>
        </w:rPr>
        <w:t>β = standardized LassoCV regression coefficient (StandardScaler applied to all predictors). 95% CI = bootstrap 95% confidence interval (1 000 resamples, percentile method). p-value = two-sided bootstrap p-value. Sel. Freq. = bootstrap selection frequency — proportion of 1 000 resamples in which the predictor's LassoCV coefficient was non-zero (selection_frequency = count_nonzero / 1 000; range 0–1). Unadjusted = LassoCV fitted on completers without sample weights. IPCW-Adjusted = LassoCV fitted on completers using stabilized inverse-probability-of-completion weights (pre-computed in Tip_Over_Analysis_artifacts_out_202608081955.csv). Only predictors with a non-zero coefficient in at least one model are shown. Red bold p-values indicate robust statistical significance: both p &lt; 0.05 AND Sel. Freq. ≥ 0.70 in the IPCW-adjusted model (dual-criterion per Bootstrap_resample.docx; a low selection frequency [&lt; 0.50] indicates an unstable p-value even if nominally significant). Bold Sel. Freq. values indicate stability selection threshold met (≥ 0.70).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