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Supplementary Table 1. Ambulatory-cohort reconciliation for the 6MWT4 continuous model</w:t>
      </w:r>
    </w:p>
    <w:p>
      <w:r>
        <w:t>Source workbook: 20260826_DeID.xlsx. Eligible ambulatory cohort: n=517 (Completed PAC program and 6MWT_Best_Scenario=1). Continuous-model analytic cohort: n=511 (non-missing 6MWT4). Excluded from model: n=6 (missing 6MWT4).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Characteristic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Model-analytic ambulatory (n=511)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Eligible ambulatory excluded (n=6)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 value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Baseline Age (years, mean ± SD)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63.9 ± 12.5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64.5 ± 12.1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0.915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Male Sex (n, %)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338 (66.1%)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 (50.0%)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0.414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Ischemic Stroke Etiology (n, %)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435 (85.1%)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 (83.3%)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1.000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Baseline Barthel Index (median, IQR)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50.0 [40.0, 60.0]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47.5 [41.2, 50.0]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0.492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Baseline Berg Balance Scale (mean ± SD)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31.7 ± 16.4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33.0 ± 11.0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0.809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Acute Admission NIHSS (median, IQR)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6.0 [4.0, 9.0]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5.5 [4.2, 6.0]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0.399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Acute Discharge NIHSS (median, IQR)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5.0 [3.0, 6.0]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6.0 [5.2, 6.8]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0.283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Gastrointestinal Bleeding (GIB) (n, %)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 (3.1%)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 (0.0%)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1.000</w:t>
            </w:r>
          </w:p>
        </w:tc>
      </w:tr>
    </w:tbl>
    <w:p>
      <w:r>
        <w:t>Continuous mean±SD variables were compared with Welch t-test; median [IQR] variables with Mann–Whitney U test; categorical variables with Fisher's exact test. Ischemic stroke etiology was derived as HemorrhageStroke=0. Admission/discharge NIHSS were computed as sums of NIHSS item scores (In/Out components). Cohort reconciliation: 517 eligible ambulatory participants = 511 model-analytic + 6 excluded for missing 6MWT4. Excluded IDs (de-identified): 107,112,208,257,458,550. Record-level audit: 20260919_Supplementary_Table1_Cohort_Reconciliation.csv; metadata: 20260919_Supplementary_Table1_Cohort_Metadata.csv.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