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991F4" w14:textId="77777777" w:rsidR="00517954" w:rsidRPr="00517954" w:rsidRDefault="00517954" w:rsidP="00517954">
      <w:r w:rsidRPr="00517954">
        <w:rPr>
          <w:b/>
          <w:bCs/>
        </w:rPr>
        <w:t xml:space="preserve">1. Define the exposure and </w:t>
      </w:r>
      <w:proofErr w:type="gramStart"/>
      <w:r w:rsidRPr="00517954">
        <w:rPr>
          <w:b/>
          <w:bCs/>
        </w:rPr>
        <w:t>its</w:t>
      </w:r>
      <w:proofErr w:type="gramEnd"/>
      <w:r w:rsidRPr="00517954">
        <w:rPr>
          <w:b/>
          <w:bCs/>
        </w:rPr>
        <w:t xml:space="preserve"> timing precisely first.</w:t>
      </w:r>
    </w:p>
    <w:p w14:paraId="7F510ABD" w14:textId="77777777" w:rsidR="00517954" w:rsidRPr="00517954" w:rsidRDefault="00517954" w:rsidP="00517954">
      <w:r w:rsidRPr="00517954">
        <w:t>Before building anything, specify exactly which variable is the exposure (e.g., PAC&lt;em&gt;Program&lt;/em&gt;Completion, Rehab&lt;em&gt;LOS&lt;/em&gt;Category, DischargeDestination, or a treatment received during acute/rehab care) and confirm the calendar time at which it becomes known relative to when covariates are measured and when the outcome is assessed. Any variable not fixed by T1 (rehab admission) cannot enter the propensity score as a "baseline" covariate — this includes Rehab&lt;em&gt;LOS, Rehab&lt;/em&gt;LOS&lt;em&gt;Category, PAC&lt;/em&gt;Program_Completion, DischargeRehab, and any &lt;</w:t>
      </w:r>
      <w:proofErr w:type="spellStart"/>
      <w:r w:rsidRPr="00517954">
        <w:t>em</w:t>
      </w:r>
      <w:proofErr w:type="spellEnd"/>
      <w:r w:rsidRPr="00517954">
        <w:t>&gt;2/&lt;/</w:t>
      </w:r>
      <w:proofErr w:type="spellStart"/>
      <w:r w:rsidRPr="00517954">
        <w:t>em</w:t>
      </w:r>
      <w:proofErr w:type="spellEnd"/>
      <w:r w:rsidRPr="00517954">
        <w:t>&gt;3/&lt;</w:t>
      </w:r>
      <w:proofErr w:type="spellStart"/>
      <w:r w:rsidRPr="00517954">
        <w:t>em</w:t>
      </w:r>
      <w:proofErr w:type="spellEnd"/>
      <w:r w:rsidRPr="00517954">
        <w:t xml:space="preserve">&gt;4 functional assessments, since these are all determined during or after the rehab </w:t>
      </w:r>
      <w:proofErr w:type="gramStart"/>
      <w:r w:rsidRPr="00517954">
        <w:t>stay.&lt;</w:t>
      </w:r>
      <w:proofErr w:type="gramEnd"/>
      <w:r w:rsidRPr="00517954">
        <w:t>/</w:t>
      </w:r>
      <w:proofErr w:type="spellStart"/>
      <w:r w:rsidRPr="00517954">
        <w:t>em</w:t>
      </w:r>
      <w:proofErr w:type="spellEnd"/>
      <w:r w:rsidRPr="00517954">
        <w:t>&gt;</w:t>
      </w:r>
    </w:p>
    <w:p w14:paraId="6315F157" w14:textId="77777777" w:rsidR="00517954" w:rsidRPr="00517954" w:rsidRDefault="00517954" w:rsidP="00517954">
      <w:r w:rsidRPr="00517954">
        <w:rPr>
          <w:b/>
          <w:bCs/>
        </w:rPr>
        <w:t>2. Propensity score covariate set (baseline, T1-only), as proposed:</w:t>
      </w:r>
    </w:p>
    <w:p w14:paraId="5BD87A09" w14:textId="77777777" w:rsidR="00517954" w:rsidRPr="00517954" w:rsidRDefault="00517954" w:rsidP="00517954">
      <w:pPr>
        <w:numPr>
          <w:ilvl w:val="0"/>
          <w:numId w:val="1"/>
        </w:numPr>
      </w:pPr>
      <w:r w:rsidRPr="00517954">
        <w:rPr>
          <w:b/>
          <w:bCs/>
        </w:rPr>
        <w:t>Demographics</w:t>
      </w:r>
      <w:r w:rsidRPr="00517954">
        <w:t>: Age, Sex, F0M1</w:t>
      </w:r>
    </w:p>
    <w:p w14:paraId="1ACE8689" w14:textId="77777777" w:rsidR="00517954" w:rsidRPr="00517954" w:rsidRDefault="00517954" w:rsidP="00517954">
      <w:pPr>
        <w:numPr>
          <w:ilvl w:val="0"/>
          <w:numId w:val="1"/>
        </w:numPr>
      </w:pPr>
      <w:r w:rsidRPr="00517954">
        <w:rPr>
          <w:b/>
          <w:bCs/>
        </w:rPr>
        <w:t>Acute ward management/complications</w:t>
      </w:r>
      <w:r w:rsidRPr="00517954">
        <w:t xml:space="preserve">: Pneumonia, UTI, GIB, Cellulitis, </w:t>
      </w:r>
      <w:proofErr w:type="spellStart"/>
      <w:r w:rsidRPr="00517954">
        <w:t>StrokeInEvolution</w:t>
      </w:r>
      <w:proofErr w:type="spellEnd"/>
      <w:r w:rsidRPr="00517954">
        <w:t xml:space="preserve">, tPA, IA, </w:t>
      </w:r>
      <w:proofErr w:type="spellStart"/>
      <w:r w:rsidRPr="00517954">
        <w:t>tPAIA</w:t>
      </w:r>
      <w:proofErr w:type="spellEnd"/>
      <w:r w:rsidRPr="00517954">
        <w:t xml:space="preserve">, </w:t>
      </w:r>
      <w:proofErr w:type="spellStart"/>
      <w:r w:rsidRPr="00517954">
        <w:t>Neurology_LOS</w:t>
      </w:r>
      <w:proofErr w:type="spellEnd"/>
      <w:r w:rsidRPr="00517954">
        <w:t xml:space="preserve"> (acute LOS is arguably fine here since it fully precedes rehab admission and is thus "known" at T1)</w:t>
      </w:r>
    </w:p>
    <w:p w14:paraId="000BF264" w14:textId="77777777" w:rsidR="00517954" w:rsidRPr="00517954" w:rsidRDefault="00517954" w:rsidP="00517954">
      <w:pPr>
        <w:numPr>
          <w:ilvl w:val="0"/>
          <w:numId w:val="1"/>
        </w:numPr>
      </w:pPr>
      <w:r w:rsidRPr="00517954">
        <w:rPr>
          <w:b/>
          <w:bCs/>
        </w:rPr>
        <w:t>Stroke characteristics</w:t>
      </w:r>
      <w:r w:rsidRPr="00517954">
        <w:t xml:space="preserve">: Dissection, ACA, Undetermined, </w:t>
      </w:r>
      <w:proofErr w:type="spellStart"/>
      <w:r w:rsidRPr="00517954">
        <w:t>HemorrhageStroke</w:t>
      </w:r>
      <w:proofErr w:type="spellEnd"/>
      <w:r w:rsidRPr="00517954">
        <w:t xml:space="preserve">, LVS, LVO, </w:t>
      </w:r>
      <w:proofErr w:type="spellStart"/>
      <w:r w:rsidRPr="00517954">
        <w:t>Side_Right</w:t>
      </w:r>
      <w:proofErr w:type="spellEnd"/>
      <w:r w:rsidRPr="00517954">
        <w:t xml:space="preserve">/Left/Bilateral, </w:t>
      </w:r>
      <w:proofErr w:type="spellStart"/>
      <w:r w:rsidRPr="00517954">
        <w:t>Loc_CortSub</w:t>
      </w:r>
      <w:proofErr w:type="spellEnd"/>
      <w:r w:rsidRPr="00517954">
        <w:t>/Subcortical/Infratentorial</w:t>
      </w:r>
    </w:p>
    <w:p w14:paraId="655E97C7" w14:textId="77777777" w:rsidR="00517954" w:rsidRPr="00517954" w:rsidRDefault="00517954" w:rsidP="00517954">
      <w:pPr>
        <w:numPr>
          <w:ilvl w:val="0"/>
          <w:numId w:val="1"/>
        </w:numPr>
      </w:pPr>
      <w:r w:rsidRPr="00517954">
        <w:rPr>
          <w:b/>
          <w:bCs/>
        </w:rPr>
        <w:t>Comorbidities</w:t>
      </w:r>
      <w:r w:rsidRPr="00517954">
        <w:t>: all 16 listed (AF, DM, HTN, etc.)</w:t>
      </w:r>
    </w:p>
    <w:p w14:paraId="78F1A8FF" w14:textId="77777777" w:rsidR="00517954" w:rsidRPr="00517954" w:rsidRDefault="00517954" w:rsidP="00517954">
      <w:pPr>
        <w:numPr>
          <w:ilvl w:val="0"/>
          <w:numId w:val="1"/>
        </w:numPr>
      </w:pPr>
      <w:r w:rsidRPr="00517954">
        <w:rPr>
          <w:b/>
          <w:bCs/>
        </w:rPr>
        <w:t>NIHSS at admission (the "In" sub-items)</w:t>
      </w:r>
      <w:r w:rsidRPr="00517954">
        <w:t xml:space="preserve">: </w:t>
      </w:r>
      <w:proofErr w:type="spellStart"/>
      <w:r w:rsidRPr="00517954">
        <w:t>ConsIn</w:t>
      </w:r>
      <w:proofErr w:type="spellEnd"/>
      <w:r w:rsidRPr="00517954">
        <w:t xml:space="preserve">, </w:t>
      </w:r>
      <w:proofErr w:type="spellStart"/>
      <w:r w:rsidRPr="00517954">
        <w:t>AnswerIn</w:t>
      </w:r>
      <w:proofErr w:type="spellEnd"/>
      <w:r w:rsidRPr="00517954">
        <w:t xml:space="preserve">, </w:t>
      </w:r>
      <w:proofErr w:type="spellStart"/>
      <w:r w:rsidRPr="00517954">
        <w:t>OrderIn</w:t>
      </w:r>
      <w:proofErr w:type="spellEnd"/>
      <w:r w:rsidRPr="00517954">
        <w:t xml:space="preserve">, </w:t>
      </w:r>
      <w:proofErr w:type="spellStart"/>
      <w:r w:rsidRPr="00517954">
        <w:t>EOMIn</w:t>
      </w:r>
      <w:proofErr w:type="spellEnd"/>
      <w:r w:rsidRPr="00517954">
        <w:t xml:space="preserve">, </w:t>
      </w:r>
      <w:proofErr w:type="spellStart"/>
      <w:r w:rsidRPr="00517954">
        <w:t>VisualIn</w:t>
      </w:r>
      <w:proofErr w:type="spellEnd"/>
      <w:r w:rsidRPr="00517954">
        <w:t xml:space="preserve">, </w:t>
      </w:r>
      <w:proofErr w:type="spellStart"/>
      <w:r w:rsidRPr="00517954">
        <w:t>FaceIn</w:t>
      </w:r>
      <w:proofErr w:type="spellEnd"/>
      <w:r w:rsidRPr="00517954">
        <w:t xml:space="preserve">, LUIn, </w:t>
      </w:r>
      <w:proofErr w:type="spellStart"/>
      <w:r w:rsidRPr="00517954">
        <w:t>RUIn</w:t>
      </w:r>
      <w:proofErr w:type="spellEnd"/>
      <w:r w:rsidRPr="00517954">
        <w:t xml:space="preserve">, </w:t>
      </w:r>
      <w:proofErr w:type="spellStart"/>
      <w:r w:rsidRPr="00517954">
        <w:t>LLIn</w:t>
      </w:r>
      <w:proofErr w:type="spellEnd"/>
      <w:r w:rsidRPr="00517954">
        <w:t xml:space="preserve">, </w:t>
      </w:r>
      <w:proofErr w:type="spellStart"/>
      <w:r w:rsidRPr="00517954">
        <w:t>RLIn</w:t>
      </w:r>
      <w:proofErr w:type="spellEnd"/>
      <w:r w:rsidRPr="00517954">
        <w:t xml:space="preserve">, </w:t>
      </w:r>
      <w:proofErr w:type="spellStart"/>
      <w:r w:rsidRPr="00517954">
        <w:t>CoordinateIn</w:t>
      </w:r>
      <w:proofErr w:type="spellEnd"/>
      <w:r w:rsidRPr="00517954">
        <w:t xml:space="preserve">, </w:t>
      </w:r>
      <w:proofErr w:type="spellStart"/>
      <w:r w:rsidRPr="00517954">
        <w:t>SensoryIn</w:t>
      </w:r>
      <w:proofErr w:type="spellEnd"/>
      <w:r w:rsidRPr="00517954">
        <w:t xml:space="preserve">, </w:t>
      </w:r>
      <w:proofErr w:type="spellStart"/>
      <w:r w:rsidRPr="00517954">
        <w:t>LanguageIn</w:t>
      </w:r>
      <w:proofErr w:type="spellEnd"/>
      <w:r w:rsidRPr="00517954">
        <w:t xml:space="preserve">, </w:t>
      </w:r>
      <w:proofErr w:type="spellStart"/>
      <w:r w:rsidRPr="00517954">
        <w:t>ArticulateIn</w:t>
      </w:r>
      <w:proofErr w:type="spellEnd"/>
      <w:r w:rsidRPr="00517954">
        <w:t xml:space="preserve">, </w:t>
      </w:r>
      <w:proofErr w:type="spellStart"/>
      <w:r w:rsidRPr="00517954">
        <w:t>NeglectIn</w:t>
      </w:r>
      <w:proofErr w:type="spellEnd"/>
      <w:r w:rsidRPr="00517954">
        <w:t xml:space="preserve"> — note the "Out" sub-items (measured at discharge from acute care) should be reviewed for exact timing relative to T1; if they postdate rehab </w:t>
      </w:r>
      <w:proofErr w:type="gramStart"/>
      <w:r w:rsidRPr="00517954">
        <w:t>admission</w:t>
      </w:r>
      <w:proofErr w:type="gramEnd"/>
      <w:r w:rsidRPr="00517954">
        <w:t xml:space="preserve"> they should be excluded from the PS model</w:t>
      </w:r>
    </w:p>
    <w:p w14:paraId="69ED4834" w14:textId="77777777" w:rsidR="00517954" w:rsidRPr="00517954" w:rsidRDefault="00517954" w:rsidP="00517954">
      <w:pPr>
        <w:numPr>
          <w:ilvl w:val="0"/>
          <w:numId w:val="1"/>
        </w:numPr>
      </w:pPr>
      <w:r w:rsidRPr="00517954">
        <w:rPr>
          <w:b/>
          <w:bCs/>
        </w:rPr>
        <w:t>Baseline functional assessments (the "1" suffix only)</w:t>
      </w:r>
      <w:r w:rsidRPr="00517954">
        <w:t xml:space="preserve">: MRS1, BI1, FOIS1, MNA1, EuroQoL5D1, IADL1, BBS1, FuglUE1/FuglSEN1, MMSE1, MAL(A)1/MAL(Q)1, CCAT1, Initial_6MWT_Distance/First_6MWT_TP, </w:t>
      </w:r>
      <w:proofErr w:type="spellStart"/>
      <w:r w:rsidRPr="00517954">
        <w:lastRenderedPageBreak/>
        <w:t>Initial_GS</w:t>
      </w:r>
      <w:proofErr w:type="spellEnd"/>
      <w:r w:rsidRPr="00517954">
        <w:t>/</w:t>
      </w:r>
      <w:proofErr w:type="spellStart"/>
      <w:r w:rsidRPr="00517954">
        <w:t>First_Walk_TP</w:t>
      </w:r>
      <w:proofErr w:type="spellEnd"/>
    </w:p>
    <w:p w14:paraId="4EF7DF9C" w14:textId="77777777" w:rsidR="00517954" w:rsidRPr="00517954" w:rsidRDefault="00517954" w:rsidP="00517954">
      <w:r w:rsidRPr="00517954">
        <w:t>Including MNA1 here as one covariate among many baseline functional/nutritional measures is appropriate — the propensity score does not require MNA1 to be causally central, only that it is a measured baseline confounder associated with both exposure assignment and outcome. [1-2] This resolves the earlier concern: MNA1's role shifts from "exposure of interest" to "one nutritional covariate in a comprehensive baseline balancing model," which is a more defensible use of that variable.</w:t>
      </w:r>
    </w:p>
    <w:p w14:paraId="164A5305" w14:textId="77777777" w:rsidR="00517954" w:rsidRPr="00517954" w:rsidRDefault="00517954" w:rsidP="00517954">
      <w:r w:rsidRPr="00517954">
        <w:rPr>
          <w:b/>
          <w:bCs/>
        </w:rPr>
        <w:t>3. Model building.</w:t>
      </w:r>
    </w:p>
    <w:p w14:paraId="3C5F9725" w14:textId="77777777" w:rsidR="00517954" w:rsidRPr="00517954" w:rsidRDefault="00517954" w:rsidP="00517954">
      <w:pPr>
        <w:numPr>
          <w:ilvl w:val="0"/>
          <w:numId w:val="2"/>
        </w:numPr>
      </w:pPr>
      <w:r w:rsidRPr="00517954">
        <w:t>Fit a logistic regression (or gradient boosting/random forest if covariate-outcome relationships are expected to be nonlinear) with the exposure as the dependent variable and the T1 covariate set above as predictors. [3]</w:t>
      </w:r>
    </w:p>
    <w:p w14:paraId="3A36465A" w14:textId="77777777" w:rsidR="00517954" w:rsidRPr="00517954" w:rsidRDefault="00517954" w:rsidP="00517954">
      <w:pPr>
        <w:numPr>
          <w:ilvl w:val="0"/>
          <w:numId w:val="2"/>
        </w:numPr>
      </w:pPr>
      <w:r w:rsidRPr="00517954">
        <w:t>Given the number of NIHSS sub-items and functional measures, consider using total NIHSS and a small number of clinically prioritized functional scores rather than every sub-item, to avoid overfitting/separation given likely modest sample size; alternatively use penalized regression (LASSO) for variable selection within the T1 covariate pool.</w:t>
      </w:r>
    </w:p>
    <w:p w14:paraId="4F35B15A" w14:textId="77777777" w:rsidR="00517954" w:rsidRPr="00517954" w:rsidRDefault="00517954" w:rsidP="00517954">
      <w:pPr>
        <w:numPr>
          <w:ilvl w:val="0"/>
          <w:numId w:val="2"/>
        </w:numPr>
      </w:pPr>
      <w:r w:rsidRPr="00517954">
        <w:t>Check positivity: verify propensity score distributions overlap adequately between exposure groups; exclude patients with values outside common support if matching is used. [3]</w:t>
      </w:r>
    </w:p>
    <w:p w14:paraId="59E1AE8C" w14:textId="77777777" w:rsidR="00517954" w:rsidRPr="00517954" w:rsidRDefault="00517954" w:rsidP="00517954">
      <w:r w:rsidRPr="00517954">
        <w:rPr>
          <w:b/>
          <w:bCs/>
        </w:rPr>
        <w:t>4. Using the propensity score.</w:t>
      </w:r>
    </w:p>
    <w:p w14:paraId="41F21D6E" w14:textId="77777777" w:rsidR="00517954" w:rsidRPr="00517954" w:rsidRDefault="00517954" w:rsidP="00517954">
      <w:r w:rsidRPr="00517954">
        <w:t>Choose one of the four standard approaches — matching, stratification, inverse probability of treatment weighting (IPTW), or covariate adjustment. [2] IPTW is often preferable when the goal is to retain the full sample size and estimate an average treatment effect; matching is preferable when transparency/balance diagnostics are prioritized. After application, assess covariate balance (standardized mean differences &lt;0.1) across the T1 covariate set between exposure groups — this is the primary metric of a successful propensity score, not model fit or p-values. [1-2]</w:t>
      </w:r>
    </w:p>
    <w:p w14:paraId="005FE65F" w14:textId="77777777" w:rsidR="00517954" w:rsidRPr="00517954" w:rsidRDefault="00517954" w:rsidP="00517954">
      <w:r w:rsidRPr="00517954">
        <w:rPr>
          <w:b/>
          <w:bCs/>
        </w:rPr>
        <w:t xml:space="preserve">5. Outcome model, and an important correction to the landmark-analysis </w:t>
      </w:r>
      <w:r w:rsidRPr="00517954">
        <w:rPr>
          <w:b/>
          <w:bCs/>
        </w:rPr>
        <w:lastRenderedPageBreak/>
        <w:t>suggestion.</w:t>
      </w:r>
    </w:p>
    <w:p w14:paraId="7A158314" w14:textId="77777777" w:rsidR="00517954" w:rsidRPr="00517954" w:rsidRDefault="00517954" w:rsidP="00517954">
      <w:r w:rsidRPr="00517954">
        <w:t>A recent methodological analysis found that landmark analysis, while commonly recommended, does not fully recover the true causal effect: the "reference group" at the landmark time mixes never-treated and late-treated individuals, which </w:t>
      </w:r>
      <w:r w:rsidRPr="00517954">
        <w:rPr>
          <w:b/>
          <w:bCs/>
        </w:rPr>
        <w:t>attenuates the effect estimate toward the null and reduces statistical power</w:t>
      </w:r>
      <w:r w:rsidRPr="00517954">
        <w:t>, sometimes substantially. [4] The CHEST statistical reporting guidelines still describe landmark analysis and time-dependent covariate modeling as the two standard approaches when a predictor is not known at baseline, but given the bias described in, a [4-5] </w:t>
      </w:r>
      <w:r w:rsidRPr="00517954">
        <w:rPr>
          <w:b/>
          <w:bCs/>
        </w:rPr>
        <w:t>time-dependent Cox (or other time-varying covariate) model is the more robust choice</w:t>
      </w:r>
      <w:r w:rsidRPr="00517954">
        <w:t> if Rehab&lt;</w:t>
      </w:r>
      <w:proofErr w:type="spellStart"/>
      <w:r w:rsidRPr="00517954">
        <w:t>em</w:t>
      </w:r>
      <w:proofErr w:type="spellEnd"/>
      <w:r w:rsidRPr="00517954">
        <w:t>&gt;LOS or Rehab&lt;/</w:t>
      </w:r>
      <w:proofErr w:type="spellStart"/>
      <w:r w:rsidRPr="00517954">
        <w:t>em</w:t>
      </w:r>
      <w:proofErr w:type="spellEnd"/>
      <w:r w:rsidRPr="00517954">
        <w:t>&gt;</w:t>
      </w:r>
      <w:proofErr w:type="spellStart"/>
      <w:r w:rsidRPr="00517954">
        <w:t>LOS_Category</w:t>
      </w:r>
      <w:proofErr w:type="spellEnd"/>
      <w:r w:rsidRPr="00517954">
        <w:t> must be modeled as evolving exposure information, rather than a fixed landmark cut.</w:t>
      </w:r>
    </w:p>
    <w:p w14:paraId="26529BCB" w14:textId="77777777" w:rsidR="00517954" w:rsidRPr="00517954" w:rsidRDefault="00517954" w:rsidP="00517954">
      <w:r w:rsidRPr="00517954">
        <w:t xml:space="preserve">Concretely: use the propensity-score-weighted or -matched sample, then fit the outcome model (e.g., Cox proportional hazards for </w:t>
      </w:r>
      <w:proofErr w:type="spellStart"/>
      <w:r w:rsidRPr="00517954">
        <w:t>DischargeDestination</w:t>
      </w:r>
      <w:proofErr w:type="spellEnd"/>
      <w:r w:rsidRPr="00517954">
        <w:t>/mortality, or logistic regression for a binary discharge outcome) with the exposure entered either as fixed-at-T1 (if truly a baseline classification) or as a time-updated covariate (if it evolves during the rehab stay), rather than as a single retrospectively observed LOS value.</w:t>
      </w:r>
    </w:p>
    <w:p w14:paraId="4A2F7078" w14:textId="77777777" w:rsidR="00517954" w:rsidRPr="00517954" w:rsidRDefault="00517954" w:rsidP="00517954">
      <w:r w:rsidRPr="00517954">
        <w:rPr>
          <w:b/>
          <w:bCs/>
        </w:rPr>
        <w:t>6. Sensitivity analyses.</w:t>
      </w:r>
    </w:p>
    <w:p w14:paraId="18FA8E80" w14:textId="77777777" w:rsidR="00517954" w:rsidRPr="00517954" w:rsidRDefault="00517954" w:rsidP="00517954">
      <w:pPr>
        <w:numPr>
          <w:ilvl w:val="0"/>
          <w:numId w:val="3"/>
        </w:numPr>
      </w:pPr>
      <w:r w:rsidRPr="00517954">
        <w:t>E-value or comparable sensitivity analysis for unmeasured confounding, since propensity scores only balance measured covariates. [3]</w:t>
      </w:r>
    </w:p>
    <w:p w14:paraId="5F399559" w14:textId="77777777" w:rsidR="00517954" w:rsidRPr="00517954" w:rsidRDefault="00517954" w:rsidP="00517954">
      <w:pPr>
        <w:numPr>
          <w:ilvl w:val="0"/>
          <w:numId w:val="3"/>
        </w:numPr>
      </w:pPr>
      <w:r w:rsidRPr="00517954">
        <w:t>Compare results across at least two PS implementations (e.g., IPTW vs matching) to assess robustness.</w:t>
      </w:r>
    </w:p>
    <w:p w14:paraId="694B9B38" w14:textId="22E4A28C" w:rsidR="0015519E" w:rsidRPr="00517954" w:rsidRDefault="00517954" w:rsidP="00517954">
      <w:pPr>
        <w:numPr>
          <w:ilvl w:val="0"/>
          <w:numId w:val="3"/>
        </w:numPr>
      </w:pPr>
      <w:r w:rsidRPr="00517954">
        <w:t>If </w:t>
      </w:r>
      <w:proofErr w:type="spellStart"/>
      <w:r w:rsidRPr="00517954">
        <w:t>Rehab_LOS</w:t>
      </w:r>
      <w:proofErr w:type="spellEnd"/>
      <w:r w:rsidRPr="00517954">
        <w:t> itself is of separate scientific interest, run a distinct model with </w:t>
      </w:r>
      <w:proofErr w:type="spellStart"/>
      <w:r w:rsidRPr="00517954">
        <w:t>Rehab_LOS</w:t>
      </w:r>
      <w:proofErr w:type="spellEnd"/>
      <w:r w:rsidRPr="00517954">
        <w:t> (or its predictors) as the outcome, using the same T1 covariate set as predictors — this avoids the immortal-time problem entirely by keeping LOS in its proper analytic role, consistent with how prior stroke rehabilitation LOS-prediction studies have modeled it</w:t>
      </w:r>
    </w:p>
    <w:sectPr w:rsidR="0015519E" w:rsidRPr="0051795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7AAA"/>
    <w:multiLevelType w:val="multilevel"/>
    <w:tmpl w:val="3C8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931B3D"/>
    <w:multiLevelType w:val="multilevel"/>
    <w:tmpl w:val="43C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9F6CF2"/>
    <w:multiLevelType w:val="multilevel"/>
    <w:tmpl w:val="9CE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024685">
    <w:abstractNumId w:val="2"/>
  </w:num>
  <w:num w:numId="2" w16cid:durableId="644822127">
    <w:abstractNumId w:val="0"/>
  </w:num>
  <w:num w:numId="3" w16cid:durableId="176973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54"/>
    <w:rsid w:val="0015519E"/>
    <w:rsid w:val="0044305F"/>
    <w:rsid w:val="004A3439"/>
    <w:rsid w:val="005179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6150"/>
  <w15:chartTrackingRefBased/>
  <w15:docId w15:val="{A93C52F5-0563-4EB7-9BB9-BDCB42B5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79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79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795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1795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179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795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1795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795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1795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1795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1795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1795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1795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17954"/>
    <w:rPr>
      <w:rFonts w:eastAsiaTheme="majorEastAsia" w:cstheme="majorBidi"/>
      <w:color w:val="0F4761" w:themeColor="accent1" w:themeShade="BF"/>
    </w:rPr>
  </w:style>
  <w:style w:type="character" w:customStyle="1" w:styleId="60">
    <w:name w:val="標題 6 字元"/>
    <w:basedOn w:val="a0"/>
    <w:link w:val="6"/>
    <w:uiPriority w:val="9"/>
    <w:semiHidden/>
    <w:rsid w:val="00517954"/>
    <w:rPr>
      <w:rFonts w:eastAsiaTheme="majorEastAsia" w:cstheme="majorBidi"/>
      <w:color w:val="595959" w:themeColor="text1" w:themeTint="A6"/>
    </w:rPr>
  </w:style>
  <w:style w:type="character" w:customStyle="1" w:styleId="70">
    <w:name w:val="標題 7 字元"/>
    <w:basedOn w:val="a0"/>
    <w:link w:val="7"/>
    <w:uiPriority w:val="9"/>
    <w:semiHidden/>
    <w:rsid w:val="00517954"/>
    <w:rPr>
      <w:rFonts w:eastAsiaTheme="majorEastAsia" w:cstheme="majorBidi"/>
      <w:color w:val="595959" w:themeColor="text1" w:themeTint="A6"/>
    </w:rPr>
  </w:style>
  <w:style w:type="character" w:customStyle="1" w:styleId="80">
    <w:name w:val="標題 8 字元"/>
    <w:basedOn w:val="a0"/>
    <w:link w:val="8"/>
    <w:uiPriority w:val="9"/>
    <w:semiHidden/>
    <w:rsid w:val="00517954"/>
    <w:rPr>
      <w:rFonts w:eastAsiaTheme="majorEastAsia" w:cstheme="majorBidi"/>
      <w:color w:val="272727" w:themeColor="text1" w:themeTint="D8"/>
    </w:rPr>
  </w:style>
  <w:style w:type="character" w:customStyle="1" w:styleId="90">
    <w:name w:val="標題 9 字元"/>
    <w:basedOn w:val="a0"/>
    <w:link w:val="9"/>
    <w:uiPriority w:val="9"/>
    <w:semiHidden/>
    <w:rsid w:val="00517954"/>
    <w:rPr>
      <w:rFonts w:eastAsiaTheme="majorEastAsia" w:cstheme="majorBidi"/>
      <w:color w:val="272727" w:themeColor="text1" w:themeTint="D8"/>
    </w:rPr>
  </w:style>
  <w:style w:type="paragraph" w:styleId="a3">
    <w:name w:val="Title"/>
    <w:basedOn w:val="a"/>
    <w:next w:val="a"/>
    <w:link w:val="a4"/>
    <w:uiPriority w:val="10"/>
    <w:qFormat/>
    <w:rsid w:val="005179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179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9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179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7954"/>
    <w:pPr>
      <w:spacing w:before="160"/>
      <w:jc w:val="center"/>
    </w:pPr>
    <w:rPr>
      <w:i/>
      <w:iCs/>
      <w:color w:val="404040" w:themeColor="text1" w:themeTint="BF"/>
    </w:rPr>
  </w:style>
  <w:style w:type="character" w:customStyle="1" w:styleId="a8">
    <w:name w:val="引文 字元"/>
    <w:basedOn w:val="a0"/>
    <w:link w:val="a7"/>
    <w:uiPriority w:val="29"/>
    <w:rsid w:val="00517954"/>
    <w:rPr>
      <w:i/>
      <w:iCs/>
      <w:color w:val="404040" w:themeColor="text1" w:themeTint="BF"/>
    </w:rPr>
  </w:style>
  <w:style w:type="paragraph" w:styleId="a9">
    <w:name w:val="List Paragraph"/>
    <w:basedOn w:val="a"/>
    <w:uiPriority w:val="34"/>
    <w:qFormat/>
    <w:rsid w:val="00517954"/>
    <w:pPr>
      <w:ind w:left="720"/>
      <w:contextualSpacing/>
    </w:pPr>
  </w:style>
  <w:style w:type="character" w:styleId="aa">
    <w:name w:val="Intense Emphasis"/>
    <w:basedOn w:val="a0"/>
    <w:uiPriority w:val="21"/>
    <w:qFormat/>
    <w:rsid w:val="00517954"/>
    <w:rPr>
      <w:i/>
      <w:iCs/>
      <w:color w:val="0F4761" w:themeColor="accent1" w:themeShade="BF"/>
    </w:rPr>
  </w:style>
  <w:style w:type="paragraph" w:styleId="ab">
    <w:name w:val="Intense Quote"/>
    <w:basedOn w:val="a"/>
    <w:next w:val="a"/>
    <w:link w:val="ac"/>
    <w:uiPriority w:val="30"/>
    <w:qFormat/>
    <w:rsid w:val="00517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17954"/>
    <w:rPr>
      <w:i/>
      <w:iCs/>
      <w:color w:val="0F4761" w:themeColor="accent1" w:themeShade="BF"/>
    </w:rPr>
  </w:style>
  <w:style w:type="character" w:styleId="ad">
    <w:name w:val="Intense Reference"/>
    <w:basedOn w:val="a0"/>
    <w:uiPriority w:val="32"/>
    <w:qFormat/>
    <w:rsid w:val="00517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1</cp:revision>
  <dcterms:created xsi:type="dcterms:W3CDTF">2026-08-06T10:22:00Z</dcterms:created>
  <dcterms:modified xsi:type="dcterms:W3CDTF">2026-08-06T10:23:00Z</dcterms:modified>
</cp:coreProperties>
</file>