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9CE2" w14:textId="77777777" w:rsidR="005B49CB" w:rsidRDefault="005B49CB" w:rsidP="005B49CB">
      <w:pPr>
        <w:pStyle w:val="1"/>
      </w:pPr>
      <w:r>
        <w:rPr>
          <w:color w:val="1F4E78"/>
        </w:rPr>
        <w:t>Section 7. Side-by-Side Complete Regression Coefficient Matrix</w:t>
      </w:r>
    </w:p>
    <w:p w14:paraId="0D2E82D1" w14:textId="77777777" w:rsidR="005B49CB" w:rsidRDefault="005B49CB" w:rsidP="005B49CB">
      <w:r>
        <w:t>To provide full transparency, Table S4 provides a complete, side-by-side comparison of estimated coefficients for key baseline functional and clinical variables, showing standard unadjusted OLS and propensity score-weighted WLS (IPCW). The coefficients demonstrate exceptional stability, validating that selection bias does not systematically distort estimated recovery coefficients.</w:t>
      </w:r>
    </w:p>
    <w:p w14:paraId="4C5D3104" w14:textId="77777777" w:rsidR="005B49CB" w:rsidRDefault="005B49CB" w:rsidP="005B49CB">
      <w:pPr>
        <w:pStyle w:val="3"/>
      </w:pPr>
      <w:r>
        <w:t>Table S4. Side-by-Side Comparison of Complete Regression Coefficients (N=511)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880"/>
        <w:gridCol w:w="2880"/>
      </w:tblGrid>
      <w:tr w:rsidR="005B49CB" w14:paraId="4CB5FBF1" w14:textId="77777777" w:rsidTr="00CB4E8B">
        <w:trPr>
          <w:jc w:val="center"/>
        </w:trPr>
        <w:tc>
          <w:tcPr>
            <w:tcW w:w="4320" w:type="dxa"/>
            <w:shd w:val="clear" w:color="auto" w:fill="1F4E78"/>
          </w:tcPr>
          <w:p w14:paraId="2E2E3CEC" w14:textId="77777777" w:rsidR="005B49CB" w:rsidRDefault="005B49CB" w:rsidP="00CB4E8B">
            <w:r>
              <w:rPr>
                <w:b/>
                <w:color w:val="FFFFFF"/>
                <w:sz w:val="17"/>
              </w:rPr>
              <w:t>Clinical Variable / Predictor</w:t>
            </w:r>
          </w:p>
        </w:tc>
        <w:tc>
          <w:tcPr>
            <w:tcW w:w="2880" w:type="dxa"/>
            <w:shd w:val="clear" w:color="auto" w:fill="1F4E78"/>
          </w:tcPr>
          <w:p w14:paraId="3EE3F4BD" w14:textId="77777777" w:rsidR="005B49CB" w:rsidRDefault="005B49CB" w:rsidP="00CB4E8B">
            <w:r>
              <w:rPr>
                <w:b/>
                <w:color w:val="FFFFFF"/>
                <w:sz w:val="17"/>
              </w:rPr>
              <w:t>Unadjusted OLS Coef.</w:t>
            </w:r>
          </w:p>
        </w:tc>
        <w:tc>
          <w:tcPr>
            <w:tcW w:w="2880" w:type="dxa"/>
            <w:shd w:val="clear" w:color="auto" w:fill="1F4E78"/>
          </w:tcPr>
          <w:p w14:paraId="4A30C9AE" w14:textId="77777777" w:rsidR="005B49CB" w:rsidRDefault="005B49CB" w:rsidP="00CB4E8B">
            <w:r>
              <w:rPr>
                <w:b/>
                <w:color w:val="FFFFFF"/>
                <w:sz w:val="17"/>
              </w:rPr>
              <w:t>IPCW-Weighted Coef.</w:t>
            </w:r>
          </w:p>
        </w:tc>
      </w:tr>
      <w:tr w:rsidR="005B49CB" w14:paraId="605412E3" w14:textId="77777777" w:rsidTr="00CB4E8B">
        <w:trPr>
          <w:jc w:val="center"/>
        </w:trPr>
        <w:tc>
          <w:tcPr>
            <w:tcW w:w="4320" w:type="dxa"/>
          </w:tcPr>
          <w:p w14:paraId="7C8F1D52" w14:textId="77777777" w:rsidR="005B49CB" w:rsidRDefault="005B49CB" w:rsidP="00CB4E8B">
            <w:r>
              <w:rPr>
                <w:sz w:val="16"/>
              </w:rPr>
              <w:t>Baseline Age</w:t>
            </w:r>
          </w:p>
        </w:tc>
        <w:tc>
          <w:tcPr>
            <w:tcW w:w="2880" w:type="dxa"/>
          </w:tcPr>
          <w:p w14:paraId="1964CBA7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-39.85 (p&lt;0.001)</w:t>
            </w:r>
          </w:p>
        </w:tc>
        <w:tc>
          <w:tcPr>
            <w:tcW w:w="2880" w:type="dxa"/>
          </w:tcPr>
          <w:p w14:paraId="4AE578B2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-39.48 (p&lt;0.001)</w:t>
            </w:r>
          </w:p>
        </w:tc>
      </w:tr>
      <w:tr w:rsidR="005B49CB" w14:paraId="4284B6D2" w14:textId="77777777" w:rsidTr="00CB4E8B">
        <w:trPr>
          <w:jc w:val="center"/>
        </w:trPr>
        <w:tc>
          <w:tcPr>
            <w:tcW w:w="4320" w:type="dxa"/>
          </w:tcPr>
          <w:p w14:paraId="14658095" w14:textId="77777777" w:rsidR="005B49CB" w:rsidRDefault="005B49CB" w:rsidP="00CB4E8B">
            <w:r>
              <w:rPr>
                <w:sz w:val="16"/>
              </w:rPr>
              <w:t>Male Sex (F0, M1)</w:t>
            </w:r>
          </w:p>
        </w:tc>
        <w:tc>
          <w:tcPr>
            <w:tcW w:w="2880" w:type="dxa"/>
          </w:tcPr>
          <w:p w14:paraId="1502A01C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14.82 (p=0.007)</w:t>
            </w:r>
          </w:p>
        </w:tc>
        <w:tc>
          <w:tcPr>
            <w:tcW w:w="2880" w:type="dxa"/>
          </w:tcPr>
          <w:p w14:paraId="20C50CB1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16.07 (p=0.004)</w:t>
            </w:r>
          </w:p>
        </w:tc>
      </w:tr>
      <w:tr w:rsidR="005B49CB" w14:paraId="764E68A1" w14:textId="77777777" w:rsidTr="00CB4E8B">
        <w:trPr>
          <w:jc w:val="center"/>
        </w:trPr>
        <w:tc>
          <w:tcPr>
            <w:tcW w:w="4320" w:type="dxa"/>
          </w:tcPr>
          <w:p w14:paraId="78666BEE" w14:textId="77777777" w:rsidR="005B49CB" w:rsidRDefault="005B49CB" w:rsidP="00CB4E8B">
            <w:r>
              <w:rPr>
                <w:sz w:val="16"/>
              </w:rPr>
              <w:t>Berg Balance Scale (BBS1)</w:t>
            </w:r>
          </w:p>
        </w:tc>
        <w:tc>
          <w:tcPr>
            <w:tcW w:w="2880" w:type="dxa"/>
          </w:tcPr>
          <w:p w14:paraId="0C477AE8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65.40 (p&lt;0.001)</w:t>
            </w:r>
          </w:p>
        </w:tc>
        <w:tc>
          <w:tcPr>
            <w:tcW w:w="2880" w:type="dxa"/>
          </w:tcPr>
          <w:p w14:paraId="2D42CA0F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66.38 (p&lt;0.001)</w:t>
            </w:r>
          </w:p>
        </w:tc>
      </w:tr>
      <w:tr w:rsidR="005B49CB" w14:paraId="4416AB1F" w14:textId="77777777" w:rsidTr="00CB4E8B">
        <w:trPr>
          <w:jc w:val="center"/>
        </w:trPr>
        <w:tc>
          <w:tcPr>
            <w:tcW w:w="4320" w:type="dxa"/>
          </w:tcPr>
          <w:p w14:paraId="3910D7C2" w14:textId="77777777" w:rsidR="005B49CB" w:rsidRDefault="005B49CB" w:rsidP="00CB4E8B">
            <w:r>
              <w:rPr>
                <w:sz w:val="16"/>
              </w:rPr>
              <w:t>Baseline Nutrition (MNA1)</w:t>
            </w:r>
          </w:p>
        </w:tc>
        <w:tc>
          <w:tcPr>
            <w:tcW w:w="2880" w:type="dxa"/>
          </w:tcPr>
          <w:p w14:paraId="5631FD46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-16.80 (p=0.003)</w:t>
            </w:r>
          </w:p>
        </w:tc>
        <w:tc>
          <w:tcPr>
            <w:tcW w:w="2880" w:type="dxa"/>
          </w:tcPr>
          <w:p w14:paraId="56CE516D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-16.69 (p=0.003)</w:t>
            </w:r>
          </w:p>
        </w:tc>
      </w:tr>
      <w:tr w:rsidR="005B49CB" w14:paraId="28DFFA76" w14:textId="77777777" w:rsidTr="00CB4E8B">
        <w:trPr>
          <w:jc w:val="center"/>
        </w:trPr>
        <w:tc>
          <w:tcPr>
            <w:tcW w:w="4320" w:type="dxa"/>
          </w:tcPr>
          <w:p w14:paraId="34AFAD03" w14:textId="77777777" w:rsidR="005B49CB" w:rsidRDefault="005B49CB" w:rsidP="00CB4E8B">
            <w:r>
              <w:rPr>
                <w:sz w:val="16"/>
              </w:rPr>
              <w:t>Gastrointestinal Bleeding (GIB)</w:t>
            </w:r>
          </w:p>
        </w:tc>
        <w:tc>
          <w:tcPr>
            <w:tcW w:w="2880" w:type="dxa"/>
          </w:tcPr>
          <w:p w14:paraId="528D2361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18.13 (p=0.001)</w:t>
            </w:r>
          </w:p>
        </w:tc>
        <w:tc>
          <w:tcPr>
            <w:tcW w:w="2880" w:type="dxa"/>
          </w:tcPr>
          <w:p w14:paraId="0B933189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17.71 (p=0.001)</w:t>
            </w:r>
          </w:p>
        </w:tc>
      </w:tr>
      <w:tr w:rsidR="005B49CB" w14:paraId="6E51973C" w14:textId="77777777" w:rsidTr="00CB4E8B">
        <w:trPr>
          <w:jc w:val="center"/>
        </w:trPr>
        <w:tc>
          <w:tcPr>
            <w:tcW w:w="4320" w:type="dxa"/>
          </w:tcPr>
          <w:p w14:paraId="3398425B" w14:textId="77777777" w:rsidR="005B49CB" w:rsidRDefault="005B49CB" w:rsidP="00CB4E8B">
            <w:r>
              <w:rPr>
                <w:sz w:val="16"/>
              </w:rPr>
              <w:t>Fugl-Meyer Upper Extremity (FuglUE1)</w:t>
            </w:r>
          </w:p>
        </w:tc>
        <w:tc>
          <w:tcPr>
            <w:tcW w:w="2880" w:type="dxa"/>
          </w:tcPr>
          <w:p w14:paraId="73366D74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26.23 (p&lt;0.001)</w:t>
            </w:r>
          </w:p>
        </w:tc>
        <w:tc>
          <w:tcPr>
            <w:tcW w:w="2880" w:type="dxa"/>
          </w:tcPr>
          <w:p w14:paraId="0A11F786" w14:textId="77777777" w:rsidR="005B49CB" w:rsidRDefault="005B49CB" w:rsidP="00CB4E8B">
            <w:pPr>
              <w:jc w:val="center"/>
            </w:pPr>
            <w:r>
              <w:rPr>
                <w:sz w:val="16"/>
              </w:rPr>
              <w:t>27.45 (p&lt;0.001)</w:t>
            </w:r>
          </w:p>
        </w:tc>
      </w:tr>
    </w:tbl>
    <w:p w14:paraId="28922D99" w14:textId="77777777" w:rsidR="0015519E" w:rsidRDefault="0015519E"/>
    <w:sectPr w:rsidR="001551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CB"/>
    <w:rsid w:val="0015519E"/>
    <w:rsid w:val="0044305F"/>
    <w:rsid w:val="005B49CB"/>
    <w:rsid w:val="00F7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6BE3"/>
  <w15:chartTrackingRefBased/>
  <w15:docId w15:val="{54011126-0091-4829-B880-2B0B03B2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9CB"/>
    <w:pPr>
      <w:spacing w:after="200" w:line="276" w:lineRule="auto"/>
    </w:pPr>
    <w:rPr>
      <w:rFonts w:ascii="Calibri" w:hAnsi="Calibri"/>
      <w:color w:val="333333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49C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9C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B49C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9C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9C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9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B49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9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9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9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9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9C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5B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9C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5B4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9CB"/>
    <w:pPr>
      <w:widowControl w:val="0"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5B4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9CB"/>
    <w:pPr>
      <w:widowControl w:val="0"/>
      <w:spacing w:after="160"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5B49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9C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5B49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2026-08-08T07:29:00Z</dcterms:created>
  <dcterms:modified xsi:type="dcterms:W3CDTF">2026-08-08T07:32:00Z</dcterms:modified>
</cp:coreProperties>
</file>