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Publication Tables</w:t>
      </w:r>
    </w:p>
    <w:p>
      <w:pPr>
        <w:jc w:val="center"/>
      </w:pPr>
      <w:r>
        <w:rPr>
          <w:sz w:val="16"/>
        </w:rPr>
        <w:t>Compact journal tables are shown here; full model-by-model performance metrics and coefficient details are moved to supplementary tables.</w:t>
      </w:r>
    </w:p>
    <w:p>
      <w:pPr>
        <w:jc w:val="center"/>
      </w:pPr>
      <w:r>
        <w:rPr>
          <w:b/>
          <w:sz w:val="20"/>
        </w:rPr>
        <w:t>Table 1. Compact performance summary of the 5 retained models</w:t>
      </w:r>
    </w:p>
    <w:p>
      <w:pPr>
        <w:jc w:val="center"/>
      </w:pPr>
      <w:r>
        <w:rPr>
          <w:sz w:val="16"/>
        </w:rPr>
        <w:t>R² and MAE are restored here, while sensitivity, specificity, and other detailed operating characteristics are provided in the supplementary tables.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CV R²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MAE (m)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R²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MAE (m)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0.5467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89.29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0.5148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0.5154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95.07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0.4836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95.35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</w:tr>
    </w:tbl>
    <w:p/>
    <w:p>
      <w:pPr>
        <w:jc w:val="center"/>
      </w:pPr>
      <w:r>
        <w:rPr>
          <w:b/>
          <w:sz w:val="20"/>
        </w:rPr>
        <w:t>Table 2. Stable predictors shared across retained models</w:t>
      </w:r>
    </w:p>
    <w:p>
      <w:pPr>
        <w:jc w:val="center"/>
      </w:pPr>
      <w:r>
        <w:rPr>
          <w:sz w:val="16"/>
        </w:rPr>
        <w:t>Rows are stable predictors retained in at least 2 models. Cells show bootstrap mean standardized β and selection frequency. Predictors unique to a single model and full confidence-interval details are reported in the supplementary tables.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(n=21)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(n=44)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(n=59)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(n=12)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(n=4)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+62.5;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+61.2;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+68.6;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+35.6;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+30.3;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+28.5;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+33.1;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+38.3;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+16.9;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+17.6;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+21.3;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+17.1;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+24.2;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+8.5;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+10.7;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-14.7;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-15.0;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-11.9;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-16.5;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-9.6;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+0.5;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-5.5;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-4.5; 71%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+9.6;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-9.3; 94%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+6.9;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+11.2;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-5.7; 88%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-4.9;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-5.4; 86%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+5.6;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+4.8;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BalAcc = balanced accuracy; MAE = mean absolute error; OOF = out of fold; SF = selection frequency.</w:t>
      </w:r>
    </w:p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