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Supplementary Tables</w:t>
      </w:r>
    </w:p>
    <w:p>
      <w:pPr>
        <w:jc w:val="center"/>
      </w:pPr>
      <w:r>
        <w:rPr>
          <w:b/>
          <w:sz w:val="20"/>
        </w:rPr>
        <w:t>Supplementary Table S1. Full Part 2 IPCW binary classification performance</w:t>
      </w:r>
    </w:p>
    <w:p>
      <w:pPr>
        <w:jc w:val="center"/>
      </w:pPr>
      <w:r>
        <w:rPr>
          <w:sz w:val="16"/>
        </w:rPr>
        <w:t>This table retains the full accuracy, balanced accuracy, sensitivity, and specificity results for the Best and Worst scenarios.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Rank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Acronym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Publication name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Input vars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Best Acc [95% CI]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Best BalAcc [95% CI]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Best Se [95% CI]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Best Sp [95% CI]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Worst Acc [95% CI]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Worst BalAcc [95% CI]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Worst Se [95% CI]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Worst Sp [95% CI]</w:t>
            </w:r>
          </w:p>
        </w:tc>
      </w:tr>
      <w:tr>
        <w:tc>
          <w:tcPr>
            <w:tcW w:type="dxa" w:w="1108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82.5% [71.6, 88.3]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80.6% [76.5, 86.4]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82.9% [70.0, 89.6]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78.3% [70.0, 93.3]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86.6% [75.0, 89.6]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82.8% [78.9, 87.1]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88.1% [72.4, 91.3]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77.4% [70.4, 90.7]</w:t>
            </w:r>
          </w:p>
        </w:tc>
      </w:tr>
      <w:tr>
        <w:tc>
          <w:tcPr>
            <w:tcW w:type="dxa" w:w="1108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68.7% [63.0, 82.6]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77.5% [73.8, 82.9]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66.7% [60.0, 83.4]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88.3% [71.4, 96.7]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75.8% [64.3, 81.2]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78.3% [74.8, 82.7]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74.8% [59.3, 81.8]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81.7% [73.3, 94.4]</w:t>
            </w:r>
          </w:p>
        </w:tc>
      </w:tr>
      <w:tr>
        <w:tc>
          <w:tcPr>
            <w:tcW w:type="dxa" w:w="1108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72.4% [63.7, 80.1]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78.8% [74.6, 83.8]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70.9% [60.8, 80.0]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86.7% [75.5, 96.4]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72.7% [61.0, 77.3]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74.2% [70.5, 78.8]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72.0% [56.1, 76.9]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76.3% [68.5, 92.1]</w:t>
            </w:r>
          </w:p>
        </w:tc>
      </w:tr>
      <w:tr>
        <w:tc>
          <w:tcPr>
            <w:tcW w:type="dxa" w:w="1108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82.0% [69.2, 85.0]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81.8% [77.4, 86.8]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82.0% [67.0, 85.1]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81.7% [73.8, 94.6]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77.3% [72.8, 86.4]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81.3% [78.1, 85.5]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75.6% [69.8, 87.6]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87.1% [74.7, 94.7]</w:t>
            </w:r>
          </w:p>
        </w:tc>
      </w:tr>
      <w:tr>
        <w:tc>
          <w:tcPr>
            <w:tcW w:type="dxa" w:w="1108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5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BEDSIDE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4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Balance-Enhanced Demographic Speed Index for Discharge Endurance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76.8% [73.5, 85.8]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82.0% [77.8, 86.8]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75.6% [72.0, 86.0]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88.3% [75.6, 95.2]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80.9% [74.4, 85.8]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83.0% [79.6, 87.1]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80.0% [71.6, 86.4]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86.0% [78.3, 94.4]</w:t>
            </w:r>
          </w:p>
        </w:tc>
      </w:tr>
    </w:tbl>
    <w:p/>
    <w:p>
      <w:pPr>
        <w:jc w:val="center"/>
      </w:pPr>
      <w:r>
        <w:rPr>
          <w:b/>
          <w:sz w:val="20"/>
        </w:rPr>
        <w:t>Supplementary Table S2. Full predictor-by-model stable coefficient matrix</w:t>
      </w:r>
    </w:p>
    <w:p>
      <w:pPr>
        <w:jc w:val="center"/>
      </w:pPr>
      <w:r>
        <w:rPr>
          <w:sz w:val="16"/>
        </w:rPr>
        <w:t>Cells are bootstrap mean coefficient (bootstrap SD) [95% CI]; selection frequency.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0"/>
        <w:gridCol w:w="2400"/>
        <w:gridCol w:w="2400"/>
        <w:gridCol w:w="2400"/>
        <w:gridCol w:w="2400"/>
        <w:gridCol w:w="2400"/>
      </w:tblGrid>
      <w:tr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Predictor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RESTORE (Model 5; 21 vars)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COMPASS (Model 8; 44 vars)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CASCADE (Model 2; 59 vars)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AIMS (Model 1; 12 vars)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BEDSIDE (Model 4; 4 vars)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BBS1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+77.72 (10.98) [57.21, 98.78];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+62.54 (10.00) [42.40, 81.97];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+63.94 (9.52) [45.64, 81.84];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+61.23 (9.53) [42.55, 79.89];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+68.60 (8.64) [52.39, 86.17];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Age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-32.68 (6.55) [-45.10, -20.00];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-33.85 (6.37) [-45.78, -21.18];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-33.53 (6.22) [-45.19, -20.87];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-39.64 (6.32) [-52.01, -27.24];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-35.10 (5.92) [-46.15, -23.68];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Gait_Speed_1_Imputed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+35.60 (9.03) [18.88, 54.17];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+30.26 (8.63) [13.79, 47.14];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+28.54 (8.50) [12.01, 45.78];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+33.06 (8.46) [16.66, 49.35];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+38.29 (8.29) [20.56, 53.03];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Sex, F0 M1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+16.86 (5.19) [7.29, 27.10];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+15.90 (5.16) [6.10, 25.81];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+15.85 (5.14) [6.07, 25.75];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+15.51 (5.24) [5.19, 25.25];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+17.59 (5.35) [7.43, 27.98];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FuglUE1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+27.72 (8.43) [11.02, 43.70];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+21.26 (6.67) [7.80, 34.22];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+17.06 (7.30) [2.63, 31.61]; 99%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+23.74 (7.18) [10.07, 37.45];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EuroQoL5D1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+24.16 (8.19) [9.05, 41.29];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+8.18 (5.35) [0.00, 18.52]; 92%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+8.49 (5.58) [0.00, 19.64]; 91%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+10.67 (5.68) [0.00, 21.48]; 95%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MNA1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-10.94 (6.00) [-22.38, 0.00];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-14.68 (5.77) [-26.00, -3.16]; 99%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-14.96 (5.65) [-25.87, -3.05]; 99%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-11.89 (5.42) [-22.08, 0.00]; 97%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MRS1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-16.46 (7.94) [-31.61, -0.92]; 98%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-9.56 (6.27) [-21.49, 0.00]; 91%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-9.21 (6.49) [-22.46, 0.00]; 89%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-6.42 (6.08) [-19.72, 0.54]; 82%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IADL1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+0.46 (5.92) [-10.61, 13.35]; 77%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-5.48 (5.09) [-16.65, 0.00]; 78%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-4.48 (4.91) [-15.97, 0.25]; 71%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-5.10 (5.20) [-16.64, 1.53]; 77%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GIB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+13.70 (4.31) [5.26, 22.12];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+14.84 (5.10) [5.10, 24.19];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OldStroke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-14.49 (5.38) [-24.60, -3.41];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-14.82 (5.27) [-25.78, -4.86];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Dyslipidemia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+9.62 (5.41) [0.00, 20.17];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+9.11 (5.17) [0.00, 19.70];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Loc_Subcortical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-11.13 (5.77) [-21.97, 0.00];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-9.32 (5.50) [-20.20, 0.00]; 94%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CKD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-6.79 (4.21) [-14.90, 0.00]; 93%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-6.77 (4.67) [-16.54, 0.00]; 89%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Dementia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-6.01 (3.84) [-13.66, 0.00]; 93%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-4.39 (3.63) [-12.39, 0.00]; 84%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ACA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+6.88 (5.31) [0.00, 18.22];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+8.23 (5.87) [0.00, 21.71]; 91%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Side_Right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+10.17 (6.37) [0.00, 22.32]; 89%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+11.21 (7.93) [0.00, 26.91];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Undetermined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-5.60 (4.25) [-14.26, 0.00];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-5.68 (4.14) [-14.66, 0.00]; 88%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CAD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+7.21 (5.63) [0.00, 18.35];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+5.30 (4.62) [0.00, 15.14]; 80%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Cellulitis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-4.85 (4.03) [-13.65, 0.00]; 83%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-5.37 (4.21) [-14.37, 0.00]; 86%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LVS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+5.55 (4.95) [-0.68, 15.83]; 84%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+4.85 (4.66) [-0.22, 15.12]; 80%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BBS_T1T2_Change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+32.51 (7.95) [17.14, 48.24];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MRS_T1T2_Change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-24.47 (8.79) [-41.33, -8.29]; 99%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IADL_T1T2_Change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+14.76 (6.54) [1.88, 27.87]; 99%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EOMOut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+14.31 (6.43) [1.74, 26.68]; 99%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FuglUE_T1T2_Change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+13.52 (6.23) [0.24, 25.45]; 98%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EuroQoL5D_T1T2_Change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+14.08 (7.54) [0.00, 29.30];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MNA_T1T2_Change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+8.10 (5.07) [-0.18, 18.34]; 95%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BI_T1T2_Change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-10.27 (8.06) [-27.60, 0.28]; 90%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FuglSEN_T1T2_Change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-5.89 (5.36) [-17.09, 3.03]; 89%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FuglSEN1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-4.67 (5.58) [-16.48, 4.58]; 83%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LLOut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-8.56 (7.15) [-23.20, 0.00]; 80%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NeglectOut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-1.03 (6.75) [-14.16, 13.09]; 79%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FOIS_T1T2_Change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+3.50 (6.86) [-8.42, 19.73]; 76%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Gout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+3.83 (4.77) [-3.68, 14.75]; 76%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LanguageOut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+4.90 (4.95) [0.00, 16.35]; 74%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FOIS1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+5.30 (5.49) [0.00, 18.28]; 73%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RLOut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-6.84 (7.27) [-23.95, 0.00]; 72%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Psychiatric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-2.31 (2.66) [-8.77, 0.43]; 70%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</w:tbl>
    <w:p/>
    <w:p>
      <w:pPr>
        <w:jc w:val="center"/>
      </w:pPr>
      <w:r>
        <w:rPr>
          <w:b/>
          <w:sz w:val="20"/>
        </w:rPr>
        <w:t>Supplementary Table S3. Full stable coefficient details by predictor-model pairing</w:t>
      </w:r>
    </w:p>
    <w:p>
      <w:pPr>
        <w:jc w:val="center"/>
      </w:pPr>
      <w:r>
        <w:rPr>
          <w:sz w:val="16"/>
        </w:rPr>
        <w:t>This table retains the detailed coefficient rows for every stable predictor-model pairing.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309"/>
        <w:gridCol w:w="1309"/>
        <w:gridCol w:w="1309"/>
        <w:gridCol w:w="1309"/>
        <w:gridCol w:w="1309"/>
        <w:gridCol w:w="1309"/>
        <w:gridCol w:w="1309"/>
        <w:gridCol w:w="1309"/>
        <w:gridCol w:w="1309"/>
        <w:gridCol w:w="1309"/>
        <w:gridCol w:w="1309"/>
      </w:tblGrid>
      <w:tr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Rank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Acronym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Model_label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Publication name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Input vars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Predictor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Full-fit Coef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Boot Mean Coef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Boot SD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95% CI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Sel Freq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-32.46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-32.68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6.55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[-45.10, -20.00]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BBS1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78.31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77.72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10.98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[57.21, 98.78]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BBS_T1T2_Change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33.2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32.51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7.95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[17.14, 48.24]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BI_T1T2_Change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-9.54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-10.27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8.06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[-27.60, 0.28]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EuroQoL5D1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25.19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24.16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8.19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[9.05, 41.29]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EuroQoL5D_T1T2_Change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15.4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14.08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7.54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29.30]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FOIS_T1T2_Change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1.42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3.5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6.86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[-8.42, 19.73]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FuglSEN1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-4.51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-4.67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5.58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[-16.48, 4.58]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83%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FuglSEN_T1T2_Change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-5.05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-5.89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5.36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[-17.09, 3.03]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FuglUE1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27.5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27.72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8.43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[11.02, 43.70]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FuglUE_T1T2_Change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14.24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13.52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6.23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[0.24, 25.45]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98%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Gait_Speed_1_Imputed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35.32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35.6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9.03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[18.88, 54.17]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IADL1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-0.0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0.46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5.92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[-10.61, 13.35]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77%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IADL_T1T2_Change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14.97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14.76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6.54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[1.88, 27.87]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MNA1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-11.52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-10.94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6.0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[-22.38,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MNA_T1T2_Change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8.33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5.07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[-0.18, 18.34]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95%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MRS1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-16.46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-16.46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7.94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[-31.61, -0.92]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98%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MRS_T1T2_Change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-25.02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-24.47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8.79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[-41.33, -8.29]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Sex, F0 M1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17.22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16.86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5.19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[7.29, 27.10]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ACA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6.88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5.31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18.22]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87%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-33.34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-33.85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6.37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[-45.78, -21.18]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BBS1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63.93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62.54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10.0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[42.40, 81.97]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5.63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18.35]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87%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CKD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-6.34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-6.79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[-14.90,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93%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Cellulitis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-5.02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-4.85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4.03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[-13.65,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83%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Dementia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-6.22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-6.01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3.84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[-13.66,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93%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Dyslipidemia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9.87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9.62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5.41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20.17]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EuroQoL5D1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7.73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8.18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5.35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18.52]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92%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FuglUE1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21.23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21.26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6.67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[7.80, 34.22]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GIB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13.34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13.7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4.31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[5.26, 22.12]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Gait_Speed_1_Imputed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30.25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30.26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8.63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[13.79, 47.14]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Gout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2.92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3.83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4.77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[-3.68, 14.75]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IADL1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-3.99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-5.48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5.09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[-16.65,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78%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LVS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5.55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4.95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[-0.68, 15.83]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84%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Loc_Subcortical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-13.89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-11.13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5.77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[-21.97,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MNA1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-14.17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-14.68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5.77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[-26.00, -3.16]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MRS1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-8.55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-9.56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6.27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[-21.49,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91%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OldStroke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-14.42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-14.49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5.38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[-24.60, -3.41]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Psychiatric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-1.99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-2.31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2.66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[-8.77, 0.43]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Sex, F0 M1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15.95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15.9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5.16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[6.10, 25.81]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Side_Right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11.89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10.17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6.37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22.32]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Undetermined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-4.99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4.25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[-14.26,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87%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ACA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5.84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8.23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5.87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21.71]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91%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-31.32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-33.53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6.22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[-45.19, -20.87]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BBS1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64.33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63.94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9.52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[45.64, 81.84]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3.14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4.62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15.14]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CKD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-3.85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-6.77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4.67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[-16.54,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Cellulitis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-3.33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-5.37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[-14.37,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Dementia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-4.05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-4.39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3.63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[-12.39,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84%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Dyslipidemia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8.38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9.11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5.17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19.70]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EOMOut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12.49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14.31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6.43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[1.74, 26.68]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EuroQoL5D1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4.72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8.49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5.58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19.64]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91%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FOIS1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0.0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5.49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18.28]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73%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FuglUE1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19.12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17.06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[2.63, 31.61]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GIB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11.44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14.84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[5.10, 24.19]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Gait_Speed_1_Imputed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29.71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28.54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[12.01, 45.78]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IADL1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-0.0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-4.48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4.91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[-15.97, 0.25]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71%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LLOut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-4.81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-8.56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7.15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[-23.20,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LVS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1.88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4.85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4.66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[-0.22, 15.12]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LanguageOut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0.0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4.95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16.35]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74%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Loc_Subcortical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-12.44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-9.32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[-20.20,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94%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MNA1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-10.89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-14.96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5.65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[-25.87, -3.05]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MRS1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-9.21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6.49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[-22.46,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NeglectOut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-0.0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-1.03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6.75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[-14.16, 13.09]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OldStroke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-12.84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-14.82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5.27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[-25.78, -4.86]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RLOut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-1.43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-6.84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7.27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[-23.95,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72%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Sex, F0 M1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15.69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15.85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5.14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[6.07, 25.75]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Side_Right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9.76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11.21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7.93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26.91]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87%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Undetermined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-3.33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-5.68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4.14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[-14.66,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88%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-39.17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-39.64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6.32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[-52.01, -27.24]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BBS1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62.42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61.23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9.53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[42.55, 79.89]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EuroQoL5D1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10.47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10.67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5.68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21.48]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95%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FuglUE1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23.96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23.74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7.18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[10.07, 37.45]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Gait_Speed_1_Imputed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33.06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33.06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8.46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[16.66, 49.35]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IADL1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-3.46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[-16.64, 1.53]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77%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MNA1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-11.45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-11.89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5.42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[-22.08,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97%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MRS1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-6.19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-6.42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6.08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[-19.72, 0.54]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82%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Sex, F0 M1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15.69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15.51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5.24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[5.19, 25.25]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BEDSIDE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Balance-Enhanced Demographic Speed Index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-35.4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-35.1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5.92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[-46.15, -23.68]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BEDSIDE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Balance-Enhanced Demographic Speed Index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BBS1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69.04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68.6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8.64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[52.39, 86.17]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BEDSIDE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Balance-Enhanced Demographic Speed Index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Gait_Speed_1_Imputed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37.95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38.29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8.29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[20.56, 53.03]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BEDSIDE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Balance-Enhanced Demographic Speed Index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Sex, F0 M1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17.58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17.59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5.35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[7.43, 27.98]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</w:tbl>
    <w:p/>
    <w:sectPr w:rsidR="00FC693F" w:rsidRPr="0006063C" w:rsidSect="00034616">
      <w:pgSz w:w="15840" w:h="12240" w:orient="landscape"/>
      <w:pgMar w:top="792" w:right="720" w:bottom="79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