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w:t>
      </w:r>
    </w:p>
    <w:p>
      <w:pPr>
        <w:pStyle w:val="Heading2"/>
      </w:pPr>
      <w:r>
        <w:t>Study Design and Setting</w:t>
      </w:r>
    </w:p>
    <w:p>
      <w:r>
        <w:rPr>
          <w:sz w:val="22"/>
        </w:rPr>
        <w:t>We conducted an observational cohort study of adult patients with stroke admitted first to an acute neurology ward and then transferred to a post-acute care cerebrovascular disease (PAC-CVD) rehabilitation ward. The analytic objective was to characterize walking-endurance recovery trajectories and to evaluate predictive models for discharge 6-minute walk test (6MWT) outcome across the acute-to-PAC continuum.</w:t>
      </w:r>
    </w:p>
    <w:p>
      <w:pPr>
        <w:pStyle w:val="Heading2"/>
      </w:pPr>
      <w:r>
        <w:t>PAC-CVD Eligibility and Rehabilitation Program</w:t>
      </w:r>
    </w:p>
    <w:p>
      <w:r>
        <w:rPr>
          <w:sz w:val="22"/>
        </w:rPr>
        <w:t>Enrollment criteria for PAC-CVD were: (1) stroke onset within 1 month; (2) stable hemodynamic parameters for 72 hours; (3) no neurological deterioration within 72 hours; and (4) sufficient cognitive function and capacity to learn rehabilitation skills, with modified Rankin Scale (mRS) score 2 to 4 (restricted to mRS 3 to 4 after policy revision in July 2017). The PAC-CVD program delivered high-intensity rehabilitation (3 hours/day on weekdays and 1 hour/day on Saturdays) including physical therapy, occupational therapy, and speech/swallowing therapy, with serial functional evaluations up to 12 weeks.</w:t>
      </w:r>
    </w:p>
    <w:p>
      <w:pPr>
        <w:pStyle w:val="Heading2"/>
      </w:pPr>
      <w:r>
        <w:t>Assessment Timeline and Variables</w:t>
      </w:r>
    </w:p>
    <w:p>
      <w:r>
        <w:rPr>
          <w:sz w:val="22"/>
        </w:rPr>
        <w:t>Acute-phase neurological severity was recorded in the neurology ward using the National Institutes of Health Stroke Scale (NIHSS). In PAC, multidomain functional assessments included activities of daily living, quality of life, nutritional status, limb motor/sensory function, gait speed/endurance, balance, and cognition. Timepoints were defined as T1 (PAC admission), T2 (3 weeks), T3 (6 weeks), and T4 (discharge).</w:t>
      </w:r>
    </w:p>
    <w:p>
      <w:pPr>
        <w:pStyle w:val="Heading2"/>
      </w:pPr>
      <w:r>
        <w:t>Outcomes and Scenario Definitions</w:t>
      </w:r>
    </w:p>
    <w:p>
      <w:r>
        <w:rPr>
          <w:sz w:val="22"/>
        </w:rPr>
        <w:t>The continuous primary endpoint was discharge 6MWT distance (6MWT4, meters). For binary analyses, two predefined sensitivity scenarios were used for patients with missing discharge walking assessment (PAC non-completers): Best scenario and Worst scenario. Scenario labels were generated a priori and analyzed as separate binary targets.</w:t>
      </w:r>
    </w:p>
    <w:p>
      <w:pPr>
        <w:pStyle w:val="Heading2"/>
      </w:pPr>
      <w:r>
        <w:t>Predictor Sets and Model Specifications</w:t>
      </w:r>
    </w:p>
    <w:p>
      <w:r>
        <w:rPr>
          <w:sz w:val="22"/>
        </w:rPr>
        <w:t>Predictors were grouped into demographics, stroke characteristics, comorbidities, acute complications, baseline PAC functional measures at T1, and early change features (T1-to-T2 deltas). Five retained model structures (RESTORE, COMPASS, CASCADE, AIMS, and BEDSIDE) were evaluated for comparative performance and predictor robustness.</w:t>
      </w:r>
    </w:p>
    <w:p>
      <w:pPr>
        <w:pStyle w:val="Heading2"/>
      </w:pPr>
      <w:r>
        <w:t>Modeling Framework</w:t>
      </w:r>
    </w:p>
    <w:p>
      <w:r>
        <w:rPr>
          <w:sz w:val="22"/>
        </w:rPr>
        <w:t>For continuous prediction, bootstrap LASSO and inverse probability of completion weighting (IPCW)-weighted Ridge regression were used. For binary classification under each scenario, candidate classifiers were evaluated and the best model was selected by cross-validated balanced accuracy. Continuous model performance was summarized with out-of-fold R² and mean absolute error (MAE), with bootstrap confidence intervals where applicable. Binary performance was summarized with accuracy, balanced accuracy, sensitivity, specificity, and 95% confidence intervals.</w:t>
      </w:r>
    </w:p>
    <w:p>
      <w:pPr>
        <w:pStyle w:val="Heading2"/>
      </w:pPr>
      <w:r>
        <w:t>Handling of Missing Data</w:t>
      </w:r>
    </w:p>
    <w:p>
      <w:r>
        <w:rPr>
          <w:sz w:val="22"/>
        </w:rPr>
        <w:t>In the finalized analytic dataset used for manuscript results, required predictor fields were effectively complete for model training subsets, and no explicit predictor-value replacement step was required for reported analyses. Missing discharge 6MWT outcomes were addressed through the IPCW framework and scenario-based sensitivity analyses rather than direct single-value outcome imputation.</w:t>
      </w:r>
    </w:p>
    <w:p>
      <w:pPr>
        <w:pStyle w:val="Heading2"/>
      </w:pPr>
      <w:r>
        <w:t>Primary and Sensitivity Analyses</w:t>
      </w:r>
    </w:p>
    <w:p>
      <w:r>
        <w:rPr>
          <w:sz w:val="22"/>
        </w:rPr>
        <w:t>The primary continuous model was fit among PAC completers with observed discharge 6MWT and weighted by IPCW to account for completion-related selection. Sensitivity analyses used predefined Best and Worst scenario binary targets to evaluate robustness of inferred walking status for patients without observed discharge assessment. Results were reported as model-level operating characteristics and coefficient stability summaries.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