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22"/>
        </w:rPr>
        <w:t>ANNOTATED SUPPLEMENTARY MATERIAL (20260831_SM_0802) – Yellow = needs change; Blue = suggestion</w:t>
      </w:r>
    </w:p>
    <w:p>
      <w:r>
        <w:t>Actual 20260831 results: CPANM-NGS (Model 3) CV R²=0.5041, MAE=92.95 m, 29 non-zero predictors, 27 stably selected</w:t>
      </w:r>
    </w:p>
    <w:p/>
    <w:p>
      <w:r>
        <w:t>Supplemental Material</w:t>
      </w:r>
    </w:p>
    <w:p>
      <w:r>
        <w:t>Methodological and Algorithmic Frameworks for Predicting Post-Stroke Walking Endurance</w:t>
      </w:r>
    </w:p>
    <w:p>
      <w:r>
        <w:t>Chan-Lin Chu, MD1,2*; Yu-Cheng Pei, MD, PhD3,4,5,6*; Yu-Cheng Chu, MD2,7,8*; Tsai-Hsuan Tsai, PhD8,9,10</w:t>
      </w:r>
    </w:p>
    <w:p>
      <w:r>
        <w:t>1 Department of Neurology, Zhongxiao Branch, Taipei City Hospital, Taipei, Taiwan</w:t>
        <w:br/>
        <w:t>2 Department of Management, Chang Gung University, Taoyuan, Taiwan</w:t>
        <w:br/>
        <w:t>3 College of Medicine, Chang Gung University, Taoyuan, Taiwan</w:t>
        <w:br/>
        <w:t>4 Department of Physical Medicine and Rehabilitation, Chang Gung Memorial Hospital at Linkou, Taoyuan, Taiwan</w:t>
        <w:br/>
        <w:t>5 Healthy Aging Research Center, Chang Gung University, Taoyuan, Taiwan</w:t>
        <w:br/>
        <w:t>6 Center of Vascularized Tissue Allograft, Chang Gung Memorial Hospital at Linkou, Taoyuan, Taiwan</w:t>
        <w:br/>
        <w:t>7 Department of Neurology, Far Eastern Memorial Hospital, New Taipei City, Taiwan</w:t>
        <w:br/>
        <w:t>8 Master of Science Degree Program in Innovation for Smart Medicine, Chang Gung University, Taoyuan, Taiwan</w:t>
        <w:br/>
        <w:t>9 Department of Industrial Design, College of Management, Chang Gung University, Taoyuan, Taiwan</w:t>
        <w:br/>
        <w:t>10 AI Innovation Research Center, Chang Gung University, Taoyuan, Taiwan</w:t>
      </w:r>
    </w:p>
    <w:p>
      <w:r>
        <w:t>* Co-Corresponding Authors</w:t>
        <w:br/>
        <w:t>Corresponding Authors:</w:t>
        <w:br/>
        <w:br/>
        <w:t>Chan-Lin Chu, MD</w:t>
        <w:br/>
        <w:t>Department of Neurology, Zhongxiao Branch, Taipei City Hospital</w:t>
        <w:br/>
        <w:t>No. 87, Tongde Rd, Wanfu Village, Nangang District, Taipei City, Taiwan</w:t>
        <w:br/>
        <w:t>Email: dreamcheap2000@hotmail.com</w:t>
        <w:br/>
        <w:br/>
        <w:t>Yu-Cheng Pei, MD, PhD</w:t>
        <w:br/>
        <w:t>Department of Physical Medicine and Rehabilitation, Chang Gung Memorial Hospital at Linkou</w:t>
        <w:br/>
        <w:t>No. 5, Fuxing St, Guishan District, Taoyuan City, Taiwan</w:t>
        <w:br/>
        <w:t>Email: yspeii@gmail.com</w:t>
        <w:br/>
        <w:br/>
        <w:t>Yu-Cheng Chu, MD</w:t>
        <w:br/>
        <w:t>Department of Neurology, Far Eastern Memorial Hospital</w:t>
        <w:br/>
        <w:t>No. 21, Sec. 2, Nanya S. Rd, Banciao District, New Taipei City, Taiwan</w:t>
        <w:br/>
        <w:t>Email: dreamsprinter@gmail.com</w:t>
      </w:r>
    </w:p>
    <w:p/>
    <w:p>
      <w:r>
        <w:t>Section 1. Feature Specifications and Variable Definitions</w:t>
      </w:r>
    </w:p>
    <w:p>
      <w:r>
        <w:t>The prospective post-acute care (PAC) stroke rehabilitation database incorporates longitudinal clinical characteristics across multiple physical, cognitive, and metabolic domains. Measurements were recorded at four clinical intervals: admission to the PAC ward (T1), rehabilitation Week 3 (T2), rehabilitation Week 6 (T3), and rehabilitation discharge (T4; up to 12 weeks). Pre-transfer clinical indicators from the acute-discharge stage are also captured at T1. The feature specifications are defined as follows:</w:t>
      </w:r>
    </w:p>
    <w:p>
      <w:r>
        <w:t>•  Demographics: Age (continuous, years); Sex (binary, 0 for Female, 1 for Male).</w:t>
      </w:r>
    </w:p>
    <w:p>
      <w:r>
        <w:t>•  Stroke Etiology and Topology: Arterial dissection (binary); Anterior Cerebral Artery (ACA) involvement (binary); Undetermined Stroke subtype (binary); Hemorrhagic vs. Ischemic Stroke (binary); Side of Stroke (categorical: Right, Left, or Bilateral); Stroke Location (categorical: Cortical, Subcortical, or Infratentorial); Large Vessel Stenosis (LVS, binary); and Large Vessel Occlusion (LVO, binary).</w:t>
      </w:r>
    </w:p>
    <w:p>
      <w:r>
        <w:t>•  Baseline Comorbidities (16 variables): Atrial Fibrillation (AF), Diabetes Mellitus (DM), Hypertension (HTN), Dyslipidemia, Coronary Artery Disease (CAD), Chronic Kidney Disease (CKD), Restrictive Lung Disease, Gastroduodenal Ulcer, Liver Cirrhosis, Hepatitis, Parkinsonism, Malignancy, Old Stroke history, Dementia, Psychiatric disorders (including bipolar, delusion, and anxiety), and Gout (all binary).</w:t>
      </w:r>
    </w:p>
    <w:p>
      <w:r>
        <w:t>•  Acute Ward Clinical Indicators and Complications (T1): Pneumonia (binary); Urinary Tract Infection (UTI, binary); Gastrointestinal Bleeding (GIB, binary); Cellulitis (binary); Intravenous tPA administration (tPA, binary); Intra-Arterial Thrombectomy (IA, binary); Combined tPA and endovascular thrombectomy (binary); and Neurology Length of Stay (Neurology_LOS, continuous, days).</w:t>
      </w:r>
    </w:p>
    <w:p>
      <w:r>
        <w:t>•  Comprehensive Post-Acute Care (PAC) Ward Assessments (T1): Berg Balance Scale (BBS1, 0-56); Barthel Index (BI1, 0-100); Functional Oral Intake Scale (FOIS1, 1-7); Mini-Nutritional Assessment (MNA1, 0-30); EuroQol-5D Quality of Life Index (EuroQoL5D1, 5-15); Instrumental Activities of Daily Living (IADL1, 0-8); Fugl-Meyer Upper Extremity Motor Function (FuglUE1, 0-66); Fugl-Meyer Sensory scale (FuglSEN1, 0-24); Modified Rankin Scale (MRS1, 0-6); Mini-Mental State Examination (MMSE1, 0-30); Motor Activity Log Amount/Quality of Use (MAL1); and Concise Chinese Aphasia Test (CCAT1, 0-12).</w:t>
      </w:r>
    </w:p>
    <w:p>
      <w:r>
        <w:t>•  Acute-Ward Discharge NIHSS (NIHSS Out at T1) Sub-items: The National Institutes of Health Stroke Scale (NIHSS) sub-items assessed immediately prior to PAC transfer (at T1) include:</w:t>
      </w:r>
    </w:p>
    <w:p>
      <w:r>
        <w:t>1. ConsOut: Level of Consciousness (LOC) responsiveness (0 to 3)</w:t>
      </w:r>
    </w:p>
    <w:p>
      <w:r>
        <w:t>2. AnswerOut: LOC Questions (0 to 2)</w:t>
      </w:r>
    </w:p>
    <w:p>
      <w:r>
        <w:t>3. OrderOut: LOC Commands (0 to 2)</w:t>
      </w:r>
    </w:p>
    <w:p>
      <w:r>
        <w:t>4. EOMOut: Best Gaze / Extraocular Movements (0 to 2)</w:t>
      </w:r>
    </w:p>
    <w:p>
      <w:r>
        <w:t>5. VisualOut: Visual Fields (0 to 3)</w:t>
      </w:r>
    </w:p>
    <w:p>
      <w:r>
        <w:t>6. FacialOut: Facial Palsy (0 to 3)</w:t>
      </w:r>
    </w:p>
    <w:p>
      <w:r>
        <w:t>7. LUOut / RUOut: Left and Right Upper Extremity motor drift (0 to 4)</w:t>
      </w:r>
    </w:p>
    <w:p>
      <w:r>
        <w:t>8. LLOut / RLOut: Left and Right Lower Extremity motor drift (0 to 4)</w:t>
      </w:r>
    </w:p>
    <w:p>
      <w:r>
        <w:t>9. Coordinateout: Limb Ataxia / Coordination (0 to 2)</w:t>
      </w:r>
    </w:p>
    <w:p>
      <w:r>
        <w:t>10. SensoryOut: Somatosensation Loss (0 to 2)</w:t>
      </w:r>
    </w:p>
    <w:p>
      <w:r>
        <w:t>11. LanguageOut: Best Language / Aphasia (0 to 3)</w:t>
      </w:r>
    </w:p>
    <w:p>
      <w:r>
        <w:t>12. ArticulateOut: Dysarthria (0 to 2)</w:t>
      </w:r>
    </w:p>
    <w:p>
      <w:r>
        <w:t>13. NeglectOut: Extinction and Inattention / Neglect (0 to 2)</w:t>
      </w:r>
    </w:p>
    <w:p/>
    <w:p>
      <w:r>
        <w:t>Section 2. Missing Data Auditing and Sample-Size Optimization</w:t>
      </w:r>
    </w:p>
    <w:p>
      <w:r>
        <w:t>2.1. Structural Physical Missingness (Baseline Comfortable Gait Speed)</w:t>
      </w:r>
    </w:p>
    <w:p>
      <w:r>
        <w:t>At PAC admission (T1), a significant portion of patients were physically non-ambulatory, rendering them unable to perform the standard comfortable walking test. Deleting these records would have systematically excluded the most severely impaired individuals, biasing prediction models toward high-functioning patients. To address this, baseline Gait_Speed_1 was clinically imputed as 0.0 m/s for all patients certified as non-ambulatory on Day 1. This clinical imputation preserved N=633 for binary classification and N=511 for continuous distance regressions.</w:t>
      </w:r>
    </w:p>
    <w:p>
      <w:r>
        <w:t>2.2. Administrative Policy Missingness (MMSE1 and MAL1)</w:t>
      </w:r>
    </w:p>
    <w:p>
      <w:r>
        <w:t>Due to an electronic health record workflow transition within the health system, the Mini-Mental State Examination (MMSE1) and Motor Activity Log (MAL1) were retired from standard clinical protocols on January 1, 2018. Consequently, 201 of 511 program completers (39.3%) presented with missing administrative data for these measures. To avoid severe sample-size reduction, MMSE1 and MAL(A)1 were systematically excluded from primary multivariable prediction models (Models 1, 2, 4, and 5), allowing the models to utilize the full, unabridged samples of 511 continuous cases and 633 binary cases.</w:t>
      </w:r>
    </w:p>
    <w:p/>
    <w:p>
      <w:r>
        <w:t>Section 3. Algorithmic Specifications and Hyperparameter Tuning</w:t>
      </w:r>
    </w:p>
    <w:p>
      <w:r>
        <w:t>Prognostic models were developed using a robust cross-validation framework to prevent overfitting and ensure clinical generalizability:</w:t>
      </w:r>
    </w:p>
    <w:p>
      <w:r>
        <w:rPr>
          <w:highlight w:val="yellow"/>
        </w:rPr>
        <w:t>•  L1-Regularized LASSO Regressions: For continuous walking endurance models (Models 1-4), we employed a 70/30% train/test split. We utilized 5-fold cross-validation on the training partition to optimize the regularization parameter (alpha / lambda penalty). All continuous predictors were standardized (mean = 0, variance = 1) prior to model fitting.</w:t>
      </w:r>
    </w:p>
    <w:p>
      <w:r>
        <w:rPr>
          <w:b/>
          <w:color w:val="0070C0"/>
          <w:sz w:val="18"/>
        </w:rPr>
        <w:t>⚑ ISSUE: 'Models 1-4' → 'Models 1-5' (five continuous regression models; Model 6=NARC is the binary classifier)</w:t>
      </w:r>
    </w:p>
    <w:p>
      <w:r>
        <w:rPr>
          <w:highlight w:val="yellow"/>
        </w:rPr>
        <w:t>•  Synthetic Minority Over-sampling Technique (SMOTE): For Model 5 (Non-Ambulatory Risk Classifier), the target walking-failure class was imbalanced (Achieved = 540, Never = 93). We applied SMOTE on the training folds using k_neighbors = 2 to generate synthetic walking-failure vectors, balancing the baseline training set.</w:t>
      </w:r>
    </w:p>
    <w:p>
      <w:r>
        <w:rPr>
          <w:b/>
          <w:color w:val="0070C0"/>
          <w:sz w:val="18"/>
        </w:rPr>
        <w:t>⚑ ISSUE: 'Model 5 (Non-Ambulatory Risk Classifier)' → 'Model 6 (Non-Ambulatory Risk Classifier)'</w:t>
      </w:r>
    </w:p>
    <w:p>
      <w:r>
        <w:rPr>
          <w:highlight w:val="yellow"/>
        </w:rPr>
        <w:t>•  Classification Threshold Optimization (Youden's J): In Model 5, the optimal classification cutoff was mathematically derived by maximizing Youden's index (Sensitivity + Specificity - 1) on the out-of-fold validation set, yielding an optimal clinical screening threshold of 0.6953.</w:t>
      </w:r>
    </w:p>
    <w:p>
      <w:r>
        <w:rPr>
          <w:b/>
          <w:color w:val="0070C0"/>
          <w:sz w:val="18"/>
        </w:rPr>
        <w:t>⚑ ISSUE: 'In Model 5' → 'In Model 6'</w:t>
      </w:r>
    </w:p>
    <w:p/>
    <w:p>
      <w:r>
        <w:t>Section 4. Detailed 6-Minute Walk Test (6MWT) Trajectory Statistics</w:t>
      </w:r>
    </w:p>
    <w:p>
      <w:r>
        <w:t>Table S1 provides detailed 6MWT distance trajectory statistics across all rehabilitation stay categories stratified by PAC program completion status and milestone achievement timepoint.</w:t>
      </w:r>
    </w:p>
    <w:p>
      <w:r>
        <w:t>Table S1. Complete Longitudinal 6MWT Trajectory Parameters by Stay Category and Completion Status (N=633)</w:t>
      </w:r>
    </w:p>
    <w:p>
      <w:r>
        <w:t>Abbreviations: 6MWT, 6-Minute Walk Test; CI, confidence interval; IQR, interquartile range; Med, median; PAC, post-acute care.</w:t>
        <w:br/>
        <w:t>Values represent Mean (Median) [IQR] (95% CI) in meters. Dashes '—' indicate non-applicable segments (e.g., progress phases following dropouts, or non-ambulatory subgroups).</w:t>
      </w:r>
    </w:p>
    <w:p/>
    <w:p>
      <w:r>
        <w:t>Section 5. Detailed Performance Metrics of the Prognostic Model Suite</w:t>
      </w:r>
    </w:p>
    <w:p>
      <w:r>
        <w:t>5.1. Unified Predictive Performance Metrics of the Core Models</w:t>
      </w:r>
    </w:p>
    <w:p>
      <w:r>
        <w:rPr>
          <w:highlight w:val="yellow"/>
        </w:rPr>
        <w:t>Table S2 details the performance characteristics and evaluation schemas of the five core predictive models in the post-stroke walking recovery suite. This suite encompasses four continuous regression models predicting 12-week discharge 6MWT distance (m) and one binary classifier screening for the risk of walking failure ('Never-Walker' status).</w:t>
      </w:r>
    </w:p>
    <w:p>
      <w:r>
        <w:rPr>
          <w:b/>
          <w:color w:val="0070C0"/>
          <w:sz w:val="18"/>
        </w:rPr>
        <w:t>⚑ ISSUE: 'five core predictive models' → 'six'; 'four continuous regression' → 'five'. ADD Model 3 (CPANM-NGS) row in Table S2: N=511, CV R²=0.5041, MAE=92.95 m, Train R²=0.5685, 29 non-zero, 27 stable.</w:t>
      </w:r>
    </w:p>
    <w:p>
      <w:r>
        <w:t>Table S2. Unified Predictive Performance Metrics of the Core Models</w:t>
      </w:r>
    </w:p>
    <w:p>
      <w:r>
        <w:t>Abbreviations: AUC, Area Under the Curve; MAE, Mean Absolute Error.</w:t>
        <w:br/>
        <w:t>* Values in parentheses represent bootstrap-adjusted or cross-validated optimistic performance estimates. Classification metrics for Model 5 represent results optimized via Youden's J for the primary 'Never-Walker' risk class.</w:t>
      </w:r>
    </w:p>
    <w:p>
      <w:r>
        <w:t>5.2. LASSO Variable Selection Counts by Clinical Category</w:t>
      </w:r>
    </w:p>
    <w:p>
      <w:r>
        <w:t>L1-regularization (LASSO) or ordinary least squares selection was applied to extract the most parsimonious, predictive clinical features. Table S3 organizes the counts of selected non-zero clinical variables for each model.</w:t>
      </w:r>
    </w:p>
    <w:p>
      <w:r>
        <w:t>Table S3. LASSO Variable Selection Counts by Clinical Category</w:t>
      </w:r>
    </w:p>
    <w:p>
      <w:r>
        <w:rPr>
          <w:highlight w:val="yellow"/>
        </w:rPr>
        <w:t>Abbreviations: CAM, Comprehensive Admission Model; ERPM, Early Response Prediction Model; NARC, Non-Ambulatory Risk Classifier; PANM, Post-Acute Neurological Model; RBE, Rapid Bedside Estimator.</w:t>
        <w:br/>
        <w:t>Groupings are aligned with the Chang Gung Memorial Hospital post-stroke cerebrovascular disease registry definitions. Admission-baseline deficits measured via individual NIHSS sub-items are categorized under Category F (PAC Ward Functional Assessments) because they reflect the patient's neurological state on Day 1 of transfer rather than acute-stage discharge metrics.</w:t>
      </w:r>
    </w:p>
    <w:p>
      <w:r>
        <w:rPr>
          <w:b/>
          <w:color w:val="0070C0"/>
          <w:sz w:val="18"/>
        </w:rPr>
        <w:t>⚑ ISSUE: Table S3 abbreviation 'PANM' → 'CPANM-GS'; ADD 'CPANM-NGS' column with variable selection counts from 20260831_LASSO_0802.</w:t>
      </w:r>
    </w:p>
    <w:p/>
    <w:p>
      <w:r>
        <w:t>Section 6. Stability-Selection Analysis of LassoCV Predictors</w:t>
      </w:r>
    </w:p>
    <w:p>
      <w:r>
        <w:t>Table S4 presents the unadjusted and IPCW-adjusted LassoCV predictor coefficients along with bootstrap selection frequencies for predicting 6MWT distance at discharge (T4).</w:t>
      </w:r>
    </w:p>
    <w:p>
      <w:r>
        <w:t>Table S4. Unadjusted and IPCW-Adjusted LassoCV Predictor Coefficients with Bootstrap Selection Frequency</w:t>
      </w:r>
    </w:p>
    <w:p>
      <w:r>
        <w:t>Abbreviations: BBS, Berg Balance Scale; CI, confidence interval; IPCW, inverse probability of completer weighting; MNA, Mini-Nutritional Assessment.</w:t>
        <w:br/>
        <w:t>Values represent standardized LassoCV regression coefficients (β). The 95% CIs are based on 1,000 bootstrap resamples (percentile method). Selection frequency (Sel. Freq.) represents the proportion of bootstrap resamples in which the predictor's coefficient was non-zero. Only predictors with non-zero coefficients in at least one model are displayed. Bold items indicate statistical significance meeting the dual-criterion: p &lt; 0.05 and selection frequency ≥ 0.70.</w:t>
      </w:r>
    </w:p>
    <w:p/>
    <w:p>
      <w:r>
        <w:t>Section 7. Literature-Referenced Tipping-Point Sensitivity Analysis</w:t>
      </w:r>
    </w:p>
    <w:p>
      <w:r>
        <w:t>To evaluate the robustness of our clinical prognostic findings under potential attrition bias, a literature-referenced tipping-point sensitivity analysis was conducted on the non-completer subgroup (n=56, representing the 8.8% program attrition rate). The primary statistical conclusion being evaluated (or 'tipped') is the statistically and clinically significant mean cohort-level walking endurance recovery change (6MWT distance improvement from T1 to T4) observed among program completers. Specifically, we test whether unobserved attrition among non-completers could shift the overall cohort's mean recovery change below established change-based clinically important difference (MCID, MID, or MIC) thresholds. Under standard, unbiased Missing-At-Random (MAR) conditions, non-completers are estimated to walk an average of 253.15 meters at discharge, compared to an observed weighted average of 319.61 meters for program completers. Required Tipping Shift (delta_tip) is the additional mean distance that must be subtracted from the dropouts' predicted mean to systematically alter the study's primary conclusions. Results are detailed in Table S5.</w:t>
      </w:r>
    </w:p>
    <w:p>
      <w:r>
        <w:t>Table S5. Side-by-Side Literature-Referenced Tipping-Point Parameters for Program Attrition</w:t>
      </w:r>
    </w:p>
    <w:p>
      <w:r>
        <w:t>Abbreviations: MAR, missing at random; MCID, minimal clinically important difference; MIC, minimal clinically important change; MID, minimal important difference.</w:t>
        <w:br/>
        <w:t>Only the 8.8% program attrition scenario represents true, non-ignorable attrition bias. In four of the five change-based clinical benchmarks, the required tipping shift is larger than the dropouts' baseline MAR potential, making unobserved deterioration physically impossible to alter the study's primary conclusions.</w:t>
      </w:r>
    </w:p>
    <w:p>
      <w:r>
        <w:t>7.2. Discrepancy Analysis between Mean-Shift and Pattern-Mixture Multiple Imputation</w:t>
      </w:r>
    </w:p>
    <w:p>
      <w:r>
        <w:t>To validate the accuracy of our tipping-point sensitivity analysis methodology, a validation comparison was conducted between: (1) a rapid, deterministic mean-shift mathematical formula, and (2) a computationally intensive full Pattern-Mixture Model solved via Multiple Imputation by Chained Equations (PMM-MICE, pooled across 50 imputed datasets). The validation was conducted over a comprehensive delta shift grid ranging from 0 to 150 meters in 5-meter increments, as detailed in Table S6, demonstrating that the deterministic approximation closely aligns with the multiple imputation model within the clinically plausible spectrum (discrepancy ≤ 5.0 meters for Δ ≤ 90 meters).</w:t>
      </w:r>
    </w:p>
    <w:p>
      <w:r>
        <w:t>Table S6. Discrepancy Analysis between Mean-Shift and Pattern-Mixture Multiple Imputation</w:t>
      </w:r>
    </w:p>
    <w:p>
      <w:r>
        <w:t>Abbreviations: MI, multiple imputation; SE, standard error.</w:t>
        <w:br/>
        <w:t>The penalty represents the extra-deficit subtracted from the MAR walking distance prediction (253.15 m) for non-completers. Discrepancies ≤ 5.0 meters (achieved for Δ ≤ 90 meters) indicate high mathematical agreement within the clinically plausible range. At extreme shifts (Δ &gt; 90 meters), the discrepancy marginally exceeds 5.0 meters, reaching 9.03 meters at Δ = 150 meters. In this upper range, the deterministic formula remains a conservative (more pessimistic) proxy, underestimating the cohort mean compared to PMM-MICE.</w:t>
      </w:r>
    </w:p>
    <w:p/>
    <w:p>
      <w:r>
        <w:t>Section 8. Stepwise Polarity Reversal &amp; Suppression of the MNA1 Paradox</w:t>
      </w:r>
    </w:p>
    <w:p>
      <w:r>
        <w:rPr>
          <w:highlight w:val="yellow"/>
        </w:rPr>
        <w:t>To deconstruct why a better baseline nutritional state (higher MNA1 score) paradoxically predicted shorter walking distances in continuous Models 1 and 2, and higher risk of walking failure in Model 5, we systematically examined the model dynamics. First, to rule out multicollinearity as a cause of coefficient instability, we calculated the Variance Inflation Factors (VIF) for the core prognostic variables, as detailed in Table S7. All VIF values remain well below the conservative threshold of 5.0, confirming that the nutrition paradox is not a mathematical artifact of collinear instability, but rather a genuine suppressor effect.</w:t>
      </w:r>
    </w:p>
    <w:p>
      <w:r>
        <w:rPr>
          <w:b/>
          <w:color w:val="0070C0"/>
          <w:sz w:val="18"/>
        </w:rPr>
        <w:t>⚑ ISSUE: 'Model 5' (NARC) → 'Model 6'; Models 1 and 2 references are correct. ADD note on whether same MNA1 paradox observed in CPANM-NGS (Model 3).</w:t>
      </w:r>
    </w:p>
    <w:p>
      <w:r>
        <w:t>Table S7. Multicollinearity Assessment: Variance Inflation Factors</w:t>
      </w:r>
    </w:p>
    <w:p>
      <w:r>
        <w:t>Abbreviations: BBS, Berg Balance Scale; BI, Barthel Index; MNA, Mini-Nutritional Assessment; VIF, variance inflation factor.</w:t>
        <w:br/>
        <w:t>VIF values &lt; 5.0 confirm near-perfect orthogonality for the primary nutritional predictor.</w:t>
      </w:r>
    </w:p>
    <w:p>
      <w:r>
        <w:t>Having eliminated multicollinearity, we executed an unabridged stepwise linear regression on continuous discharge 6MWT distance (6MWT4) to capture the exact statistical mechanism of this suppression. As demonstrated in Table S8, this stepwise trace maps the precise moment of polarity reversal as additional covariates are sequentially controlled. The raw nutritional score initially shows a non-significant positive association (Step 1), as it is heavily contaminated by general functional baseline confounding. However, once physical performance measures (BI1 and BBS1) are introduced (Steps 2 and 3), they 'soak up' this baseline functional confounding. The purified residual variance of MNA1 instantly reverses polarity, becoming a statistically significant negative marker. This negative coefficient acts as an inverse proxy for unmeasured nutritional improvement headroom under the scale's fixed 30-point ceiling.</w:t>
      </w:r>
    </w:p>
    <w:p>
      <w:r>
        <w:t>Table S8. Stepwise Polarity Reversal and Suppression of the MNA1 Paradox on Discharge 6MWT Distance</w:t>
      </w:r>
    </w:p>
    <w:p>
      <w:r>
        <w:t>Abbreviations: BBS, Berg Balance Scale; BI, Barthel Index; MNA, Mini-Nutritional Assessment.</w:t>
        <w:br/>
        <w:t>This stepwise regression trace demonstrates that controlling for physical function purifies the residual variance of the nutritional predictor, revealing its suppressor/ceiling dynamic.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