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Why the recalculated IPCW SMD differs slightly</w:t>
      </w:r>
    </w:p>
    <w:p>
      <w:r>
        <w:t>Conclusion: the difference is caused by a schema mismatch, not by different patient rows or changed shared values.</w:t>
      </w:r>
    </w:p>
    <w:p>
      <w:pPr>
        <w:pStyle w:val="ListBullet"/>
      </w:pPr>
      <w:r>
        <w:t>The 20260912 build script points to 20260806_DeID.xlsx as its patient-level source workbook.</w:t>
      </w:r>
    </w:p>
    <w:p>
      <w:pPr>
        <w:pStyle w:val="ListBullet"/>
      </w:pPr>
      <w:r>
        <w:t>The 20260919 IPCW refresh was documented in README.md as having been run on 20260826_DeID.xlsx instead.</w:t>
      </w:r>
    </w:p>
    <w:p>
      <w:pPr>
        <w:pStyle w:val="ListBullet"/>
      </w:pPr>
      <w:r>
        <w:t>The two workbooks have the same 633 rows and 161 shared columns with identical values.</w:t>
      </w:r>
    </w:p>
    <w:p>
      <w:pPr>
        <w:pStyle w:val="ListBullet"/>
      </w:pPr>
      <w:r>
        <w:t>The only baseline covariate-name differences are IA versus EVT and tPAIA versus tPA+EVT; 20260826 also adds two scenario-only outcome columns.</w:t>
      </w:r>
    </w:p>
    <w:p>
      <w:pPr>
        <w:pStyle w:val="ListBullet"/>
      </w:pPr>
      <w:r>
        <w:t>IPCW_Out_20260919.py includes IA and tPAIA in its covariate list and silently drops covariates that are missing from the workbook.</w:t>
      </w:r>
    </w:p>
    <w:p>
      <w:pPr>
        <w:pStyle w:val="ListBullet"/>
      </w:pPr>
      <w:r>
        <w:t>As a result, the last-session run omitted IA and tPAIA from both the denominator completion model and the exported SMD table.</w:t>
      </w:r>
    </w:p>
    <w:p>
      <w:pPr>
        <w:pStyle w:val="ListBullet"/>
      </w:pPr>
      <w:r>
        <w:t>That omission changes the fitted completion probabilities and IPCW weights slightly, so shared post-IPCW SMD values move by small amounts even though the underlying patient values are unchanged.</w:t>
      </w:r>
    </w:p>
    <w:p>
      <w:pPr>
        <w:pStyle w:val="ListBullet"/>
      </w:pPr>
      <w:r>
        <w:t>Renaming EVT→IA and tPA+EVT→tPAIA in 20260826 reproduces the 0806 recalculation exactly, confirming that the column rename is the whole explanation.</w:t>
      </w:r>
    </w:p>
    <w:p>
      <w:r>
        <w:t>Workbook comparison: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Shape / overlap</w:t>
            </w:r>
          </w:p>
        </w:tc>
        <w:tc>
          <w:tcPr>
            <w:tcW w:type="dxa" w:w="2880"/>
          </w:tcPr>
          <w:p>
            <w:r>
              <w:t>Relevant finding</w:t>
            </w:r>
          </w:p>
        </w:tc>
      </w:tr>
      <w:tr>
        <w:tc>
          <w:tcPr>
            <w:tcW w:type="dxa" w:w="2880"/>
          </w:tcPr>
          <w:p>
            <w:r>
              <w:t>20260806_DeID.xlsx</w:t>
            </w:r>
          </w:p>
        </w:tc>
        <w:tc>
          <w:tcPr>
            <w:tcW w:type="dxa" w:w="2880"/>
          </w:tcPr>
          <w:p>
            <w:r>
              <w:t>633 × 163</w:t>
            </w:r>
          </w:p>
        </w:tc>
        <w:tc>
          <w:tcPr>
            <w:tcW w:type="dxa" w:w="2880"/>
          </w:tcPr>
          <w:p>
            <w:r>
              <w:t>Contains IA and tPAIA</w:t>
            </w:r>
          </w:p>
        </w:tc>
      </w:tr>
      <w:tr>
        <w:tc>
          <w:tcPr>
            <w:tcW w:type="dxa" w:w="2880"/>
          </w:tcPr>
          <w:p>
            <w:r>
              <w:t>20260826_DeID.xlsx</w:t>
            </w:r>
          </w:p>
        </w:tc>
        <w:tc>
          <w:tcPr>
            <w:tcW w:type="dxa" w:w="2880"/>
          </w:tcPr>
          <w:p>
            <w:r>
              <w:t>633 × 165</w:t>
            </w:r>
          </w:p>
        </w:tc>
        <w:tc>
          <w:tcPr>
            <w:tcW w:type="dxa" w:w="2880"/>
          </w:tcPr>
          <w:p>
            <w:r>
              <w:t>Renames IA→EVT and tPAIA→tPA+EVT; adds 6MWT_Best_Scenario and 6MWT_Worst_Scenario</w:t>
            </w:r>
          </w:p>
        </w:tc>
      </w:tr>
      <w:tr>
        <w:tc>
          <w:tcPr>
            <w:tcW w:type="dxa" w:w="2880"/>
          </w:tcPr>
          <w:p>
            <w:r>
              <w:t>Shared values</w:t>
            </w:r>
          </w:p>
        </w:tc>
        <w:tc>
          <w:tcPr>
            <w:tcW w:type="dxa" w:w="2880"/>
          </w:tcPr>
          <w:p>
            <w:r>
              <w:t>161 shared columns</w:t>
            </w:r>
          </w:p>
        </w:tc>
        <w:tc>
          <w:tcPr>
            <w:tcW w:type="dxa" w:w="2880"/>
          </w:tcPr>
          <w:p>
            <w:r>
              <w:t>All shared-column values are identical row-by-row</w:t>
            </w:r>
          </w:p>
        </w:tc>
      </w:tr>
    </w:tbl>
    <w:p>
      <w:r>
        <w:t>Key summary-metric shifts after recalculating on the 0806 source: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0806 recalculation</w:t>
            </w:r>
          </w:p>
        </w:tc>
        <w:tc>
          <w:tcPr>
            <w:tcW w:type="dxa" w:w="2160"/>
          </w:tcPr>
          <w:p>
            <w:r>
              <w:t>Last session</w:t>
            </w:r>
          </w:p>
        </w:tc>
        <w:tc>
          <w:tcPr>
            <w:tcW w:type="dxa" w:w="2160"/>
          </w:tcPr>
          <w:p>
            <w:r>
              <w:t>Delta (0806 - last)</w:t>
            </w:r>
          </w:p>
        </w:tc>
      </w:tr>
      <w:tr>
        <w:tc>
          <w:tcPr>
            <w:tcW w:type="dxa" w:w="2160"/>
          </w:tcPr>
          <w:p>
            <w:r>
              <w:t>IPCW weight mean</w:t>
            </w:r>
          </w:p>
        </w:tc>
        <w:tc>
          <w:tcPr>
            <w:tcW w:type="dxa" w:w="2160"/>
          </w:tcPr>
          <w:p>
            <w:r>
              <w:t>0.9879</w:t>
            </w:r>
          </w:p>
        </w:tc>
        <w:tc>
          <w:tcPr>
            <w:tcW w:type="dxa" w:w="2160"/>
          </w:tcPr>
          <w:p>
            <w:r>
              <w:t>0.9884</w:t>
            </w:r>
          </w:p>
        </w:tc>
        <w:tc>
          <w:tcPr>
            <w:tcW w:type="dxa" w:w="2160"/>
          </w:tcPr>
          <w:p>
            <w:r>
              <w:t>-0.0005</w:t>
            </w:r>
          </w:p>
        </w:tc>
      </w:tr>
      <w:tr>
        <w:tc>
          <w:tcPr>
            <w:tcW w:type="dxa" w:w="2160"/>
          </w:tcPr>
          <w:p>
            <w:r>
              <w:t>IPCW weight SD</w:t>
            </w:r>
          </w:p>
        </w:tc>
        <w:tc>
          <w:tcPr>
            <w:tcW w:type="dxa" w:w="2160"/>
          </w:tcPr>
          <w:p>
            <w:r>
              <w:t>0.1295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  <w:tc>
          <w:tcPr>
            <w:tcW w:type="dxa" w:w="2160"/>
          </w:tcPr>
          <w:p>
            <w:r>
              <w:t>-0.0011</w:t>
            </w:r>
          </w:p>
        </w:tc>
      </w:tr>
      <w:tr>
        <w:tc>
          <w:tcPr>
            <w:tcW w:type="dxa" w:w="2160"/>
          </w:tcPr>
          <w:p>
            <w:r>
              <w:t>IPCW weight max</w:t>
            </w:r>
          </w:p>
        </w:tc>
        <w:tc>
          <w:tcPr>
            <w:tcW w:type="dxa" w:w="2160"/>
          </w:tcPr>
          <w:p>
            <w:r>
              <w:t>1.7205</w:t>
            </w:r>
          </w:p>
        </w:tc>
        <w:tc>
          <w:tcPr>
            <w:tcW w:type="dxa" w:w="2160"/>
          </w:tcPr>
          <w:p>
            <w:r>
              <w:t>1.7376</w:t>
            </w:r>
          </w:p>
        </w:tc>
        <w:tc>
          <w:tcPr>
            <w:tcW w:type="dxa" w:w="2160"/>
          </w:tcPr>
          <w:p>
            <w:r>
              <w:t>-0.0171</w:t>
            </w:r>
          </w:p>
        </w:tc>
      </w:tr>
      <w:tr>
        <w:tc>
          <w:tcPr>
            <w:tcW w:type="dxa" w:w="2160"/>
          </w:tcPr>
          <w:p>
            <w:r>
              <w:t>Effective sample size (ESS)</w:t>
            </w:r>
          </w:p>
        </w:tc>
        <w:tc>
          <w:tcPr>
            <w:tcW w:type="dxa" w:w="2160"/>
          </w:tcPr>
          <w:p>
            <w:r>
              <w:t>567.3000</w:t>
            </w:r>
          </w:p>
        </w:tc>
        <w:tc>
          <w:tcPr>
            <w:tcW w:type="dxa" w:w="2160"/>
          </w:tcPr>
          <w:p>
            <w:r>
              <w:t>567.1000</w:t>
            </w:r>
          </w:p>
        </w:tc>
        <w:tc>
          <w:tcPr>
            <w:tcW w:type="dxa" w:w="2160"/>
          </w:tcPr>
          <w:p>
            <w:r>
              <w:t>0.2000</w:t>
            </w:r>
          </w:p>
        </w:tc>
      </w:tr>
      <w:tr>
        <w:tc>
          <w:tcPr>
            <w:tcW w:type="dxa" w:w="2160"/>
          </w:tcPr>
          <w:p>
            <w:r>
              <w:t>N covariates SMD&gt;0.1 pre-IPCW</w:t>
            </w:r>
          </w:p>
        </w:tc>
        <w:tc>
          <w:tcPr>
            <w:tcW w:type="dxa" w:w="2160"/>
          </w:tcPr>
          <w:p>
            <w:r>
              <w:t>41.0000</w:t>
            </w:r>
          </w:p>
        </w:tc>
        <w:tc>
          <w:tcPr>
            <w:tcW w:type="dxa" w:w="2160"/>
          </w:tcPr>
          <w:p>
            <w:r>
              <w:t>40.0000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Max SMD post-IPCW</w:t>
            </w:r>
          </w:p>
        </w:tc>
        <w:tc>
          <w:tcPr>
            <w:tcW w:type="dxa" w:w="2160"/>
          </w:tcPr>
          <w:p>
            <w:r>
              <w:t>0.0418</w:t>
            </w:r>
          </w:p>
        </w:tc>
        <w:tc>
          <w:tcPr>
            <w:tcW w:type="dxa" w:w="2160"/>
          </w:tcPr>
          <w:p>
            <w:r>
              <w:t>0.0418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Largest shared post-IPCW SMD deltas remain very small (all ≤ 0.001069), and no recalculated post-IPCW SMD exceeds 0.1.</w:t>
      </w:r>
    </w:p>
    <w:p>
      <w:r>
        <w:t>Pre-IPCW SMD values for shared covariates are identical across runs: True. The recalculated output also restores the two omitted covariates: IA, tPAIA.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