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Internal performance differences across retained models were modest enough that the publication-facing comparison now emphasizes clinical parsimony rather than point-estimate rank. BEDSIDE is presented as the primary deployment model and AIMS as the secondary option because, relative to RESTORE, their weighted out-of-fold R² differed by -0.0551 and -0.0535, while weighted out-of-fold MAE increased by only +5.7 m and +5.3 m. Continuous calibration remained reasonably close to ideal across retained models (slopes 1.000-1.087; intercepts 0.0-0.0 m), but weighted out-of-fold MAE still ranged from 89.3 to 95.0 m, exceeding the 20.0-34.4 m 6MWT MCID benchmarks. The larger comparison models were COMPASS (11.6 observations per variable; 9 stable predictors at 70-89% selection frequency); CASCADE (8.7 observations per variable; 14 stable predictors at 70-89% selection frequency), and up to 6 stable predictors unique to a single complex model, supporting the interpretation that added complexity mainly reflects coefficient instability. Collinearity diagnostics showed a strong physiologic correlation between BBS1 and Gait_Speed_1 (r=0.793) but only moderate VIFs (BBS1 3.01, Gait_Speed_1 2.71, Age 1.14, FuglUE1 1.33). These findings remain based on internal validation only and should be treated as provisional until tested in a distinct external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