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Supplementary Tables</w:t>
      </w:r>
    </w:p>
    <w:p>
      <w:pPr>
        <w:jc w:val="center"/>
      </w:pPr>
      <w:r>
        <w:rPr>
          <w:b/>
          <w:sz w:val="20"/>
        </w:rPr>
        <w:t>Supplementary Table S1. Full Part 2 IPCW binary classification performance</w:t>
      </w:r>
    </w:p>
    <w:p>
      <w:pPr>
        <w:jc w:val="center"/>
      </w:pPr>
      <w:r>
        <w:rPr>
          <w:sz w:val="16"/>
        </w:rPr>
        <w:t>This table retains the full accuracy, balanced accuracy, sensitivity, and specificity results for the Best and Worst scenarios.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Rank</w:t>
            </w:r>
          </w:p>
        </w:tc>
        <w:tc>
          <w:tcPr>
            <w:tcW w:type="dxa" w:w="11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Acronym</w:t>
            </w:r>
          </w:p>
        </w:tc>
        <w:tc>
          <w:tcPr>
            <w:tcW w:type="dxa" w:w="11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11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Publication name</w:t>
            </w:r>
          </w:p>
        </w:tc>
        <w:tc>
          <w:tcPr>
            <w:tcW w:type="dxa" w:w="11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Input vars</w:t>
            </w:r>
          </w:p>
        </w:tc>
        <w:tc>
          <w:tcPr>
            <w:tcW w:type="dxa" w:w="11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Best Acc [95% CI]</w:t>
            </w:r>
          </w:p>
        </w:tc>
        <w:tc>
          <w:tcPr>
            <w:tcW w:type="dxa" w:w="11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Best BalAcc [95% CI]</w:t>
            </w:r>
          </w:p>
        </w:tc>
        <w:tc>
          <w:tcPr>
            <w:tcW w:type="dxa" w:w="11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Best Se [95% CI]</w:t>
            </w:r>
          </w:p>
        </w:tc>
        <w:tc>
          <w:tcPr>
            <w:tcW w:type="dxa" w:w="11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Best Sp [95% CI]</w:t>
            </w:r>
          </w:p>
        </w:tc>
        <w:tc>
          <w:tcPr>
            <w:tcW w:type="dxa" w:w="11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Worst Acc [95% CI]</w:t>
            </w:r>
          </w:p>
        </w:tc>
        <w:tc>
          <w:tcPr>
            <w:tcW w:type="dxa" w:w="11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Worst BalAcc [95% CI]</w:t>
            </w:r>
          </w:p>
        </w:tc>
        <w:tc>
          <w:tcPr>
            <w:tcW w:type="dxa" w:w="11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Worst Se [95% CI]</w:t>
            </w:r>
          </w:p>
        </w:tc>
        <w:tc>
          <w:tcPr>
            <w:tcW w:type="dxa" w:w="11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Worst Sp [95% CI]</w:t>
            </w:r>
          </w:p>
        </w:tc>
      </w:tr>
      <w:tr>
        <w:tc>
          <w:tcPr>
            <w:tcW w:type="dxa" w:w="1108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1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5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82.5% [71.6, 88.3]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80.6% [76.5, 86.4]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82.9% [70.0, 89.6]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78.3% [70.0, 93.3]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86.6% [75.0, 89.6]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82.8% [78.9, 87.1]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88.1% [72.4, 91.3]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77.4% [70.4, 90.7]</w:t>
            </w:r>
          </w:p>
        </w:tc>
      </w:tr>
      <w:tr>
        <w:tc>
          <w:tcPr>
            <w:tcW w:type="dxa" w:w="1108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68.7% [63.0, 82.6]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77.5% [73.8, 82.9]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66.7% [60.0, 83.4]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88.3% [71.4, 96.7]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75.8% [64.3, 81.2]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78.3% [74.8, 82.7]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74.8% [59.3, 81.8]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81.7% [73.3, 94.4]</w:t>
            </w:r>
          </w:p>
        </w:tc>
      </w:tr>
      <w:tr>
        <w:tc>
          <w:tcPr>
            <w:tcW w:type="dxa" w:w="1108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72.4% [63.7, 80.1]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78.8% [74.6, 83.8]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70.9% [60.8, 80.0]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86.7% [75.5, 96.4]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72.7% [61.0, 77.3]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74.2% [70.5, 78.8]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72.0% [56.1, 76.9]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76.3% [68.5, 92.1]</w:t>
            </w:r>
          </w:p>
        </w:tc>
      </w:tr>
      <w:tr>
        <w:tc>
          <w:tcPr>
            <w:tcW w:type="dxa" w:w="1108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4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AIMS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1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82.0% [69.2, 85.0]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81.8% [77.4, 86.8]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82.0% [67.0, 85.1]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81.7% [73.8, 94.6]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77.3% [72.8, 86.4]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81.3% [78.1, 85.5]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75.6% [69.8, 87.6]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87.1% [74.7, 94.7]</w:t>
            </w:r>
          </w:p>
        </w:tc>
      </w:tr>
      <w:tr>
        <w:tc>
          <w:tcPr>
            <w:tcW w:type="dxa" w:w="1108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5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BEDSIDE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4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Balance-Enhanced Demographic Speed Index for Discharge Endurance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76.8% [73.5, 85.8]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82.0% [77.8, 86.8]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75.6% [72.0, 86.0]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88.3% [75.6, 95.2]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80.9% [74.4, 85.8]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83.0% [79.6, 87.1]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80.0% [71.6, 86.4]</w:t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sz w:val="14"/>
              </w:rPr>
              <w:t>86.0% [78.3, 94.4]</w:t>
            </w:r>
          </w:p>
        </w:tc>
      </w:tr>
    </w:tbl>
    <w:p/>
    <w:p>
      <w:pPr>
        <w:jc w:val="center"/>
      </w:pPr>
      <w:r>
        <w:rPr>
          <w:b/>
          <w:sz w:val="20"/>
        </w:rPr>
        <w:t>Supplementary Table S2. Full predictor-by-model stable coefficient matrix</w:t>
      </w:r>
    </w:p>
    <w:p>
      <w:pPr>
        <w:jc w:val="center"/>
      </w:pPr>
      <w:r>
        <w:rPr>
          <w:sz w:val="16"/>
        </w:rPr>
        <w:t>Cells are bootstrap mean coefficient (bootstrap SD) [95% CI]; selection frequency.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Predictor</w:t>
            </w:r>
          </w:p>
        </w:tc>
        <w:tc>
          <w:tcPr>
            <w:tcW w:type="dxa" w:w="240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RESTORE (Model 5; 21 vars)</w:t>
            </w:r>
          </w:p>
        </w:tc>
        <w:tc>
          <w:tcPr>
            <w:tcW w:type="dxa" w:w="240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COMPASS (Model 8; 44 vars)</w:t>
            </w:r>
          </w:p>
        </w:tc>
        <w:tc>
          <w:tcPr>
            <w:tcW w:type="dxa" w:w="240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CASCADE (Model 2; 59 vars)</w:t>
            </w:r>
          </w:p>
        </w:tc>
        <w:tc>
          <w:tcPr>
            <w:tcW w:type="dxa" w:w="240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AIMS (Model 1; 12 vars)</w:t>
            </w:r>
          </w:p>
        </w:tc>
        <w:tc>
          <w:tcPr>
            <w:tcW w:type="dxa" w:w="240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BEDSIDE (Model 4; 4 vars)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BBS1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+77.72 (10.98) [57.21, 98.78];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+62.54 (10.00) [42.40, 81.97];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+63.94 (9.52) [45.64, 81.84];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+61.23 (9.53) [42.55, 79.89];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+68.60 (8.64) [52.39, 86.17]; 100%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Age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-32.68 (6.55) [-45.10, -20.00];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-33.85 (6.37) [-45.78, -21.18];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-33.53 (6.22) [-45.19, -20.87];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-39.64 (6.32) [-52.01, -27.24];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-35.10 (5.92) [-46.15, -23.68]; 100%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Gait_Speed_1_Imputed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+35.60 (9.03) [18.88, 54.17];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+30.26 (8.63) [13.79, 47.14];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+28.54 (8.50) [12.01, 45.78];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+33.06 (8.46) [16.66, 49.35];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+38.29 (8.29) [20.56, 53.03]; 100%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Sex, F0 M1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+16.86 (5.19) [7.29, 27.10];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+15.90 (5.16) [6.10, 25.81];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+15.85 (5.14) [6.07, 25.75];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+15.51 (5.24) [5.19, 25.25];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+17.59 (5.35) [7.43, 27.98]; 100%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FuglUE1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+27.72 (8.43) [11.02, 43.70];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+21.26 (6.67) [7.80, 34.22];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+17.06 (7.30) [2.63, 31.61]; 99%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+23.74 (7.18) [10.07, 37.45];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EuroQoL5D1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+24.16 (8.19) [9.05, 41.29];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+8.18 (5.35) [0.00, 18.52]; 92%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+8.49 (5.58) [0.00, 19.64]; 91%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+10.67 (5.68) [0.00, 21.48]; 95%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MNA1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-10.94 (6.00) [-22.38, 0.00]; 96%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-14.68 (5.77) [-26.00, -3.16]; 99%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-14.96 (5.65) [-25.87, -3.05]; 99%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-11.89 (5.42) [-22.08, 0.00]; 97%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MRS1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-16.46 (7.94) [-31.61, -0.92]; 98%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-9.56 (6.27) [-21.49, 0.00]; 91%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-9.21 (6.49) [-22.46, 0.00]; 89%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-6.42 (6.08) [-19.72, 0.54]; 82%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IADL1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+0.46 (5.92) [-10.61, 13.35]; 77%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-5.48 (5.09) [-16.65, 0.00]; 78%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-4.48 (4.91) [-15.97, 0.25]; 71%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-5.10 (5.20) [-16.64, 1.53]; 77%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GIB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+13.70 (4.31) [5.26, 22.12];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+14.84 (5.10) [5.10, 24.19];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OldStroke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-14.49 (5.38) [-24.60, -3.41];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-14.82 (5.27) [-25.78, -4.86];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Dyslipidemia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+9.62 (5.41) [0.00, 20.17]; 96%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+9.11 (5.17) [0.00, 19.70]; 96%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Loc_Subcortical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-11.13 (5.77) [-21.97, 0.00]; 96%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-9.32 (5.50) [-20.20, 0.00]; 94%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CKD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-6.79 (4.21) [-14.90, 0.00]; 93%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-6.77 (4.67) [-16.54, 0.00]; 89%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Dementia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-6.01 (3.84) [-13.66, 0.00]; 93%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-4.39 (3.63) [-12.39, 0.00]; 84%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ACA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+6.88 (5.31) [0.00, 18.22]; 87%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+8.23 (5.87) [0.00, 21.71]; 91%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Side_Right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+10.17 (6.37) [0.00, 22.32]; 89%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+11.21 (7.93) [0.00, 26.91]; 87%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Undetermined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-5.60 (4.25) [-14.26, 0.00]; 87%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-5.68 (4.14) [-14.66, 0.00]; 88%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CAD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+7.21 (5.63) [0.00, 18.35]; 87%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+5.30 (4.62) [0.00, 15.14]; 80%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Cellulitis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-4.85 (4.03) [-13.65, 0.00]; 83%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-5.37 (4.21) [-14.37, 0.00]; 86%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LVS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+5.55 (4.95) [-0.68, 15.83]; 84%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+4.85 (4.66) [-0.22, 15.12]; 80%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BBS_T1T2_Change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+32.51 (7.95) [17.14, 48.24];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MRS_T1T2_Change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-24.47 (8.79) [-41.33, -8.29]; 99%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IADL_T1T2_Change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+14.76 (6.54) [1.88, 27.87]; 99%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EOMOut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+14.31 (6.43) [1.74, 26.68]; 99%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FuglUE_T1T2_Change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+13.52 (6.23) [0.24, 25.45]; 98%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EuroQoL5D_T1T2_Change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+14.08 (7.54) [0.00, 29.30]; 96%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MNA_T1T2_Change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+8.10 (5.07) [-0.18, 18.34]; 95%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BI_T1T2_Change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-10.27 (8.06) [-27.60, 0.28]; 90%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FuglSEN_T1T2_Change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-5.89 (5.36) [-17.09, 3.03]; 89%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FuglSEN1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-4.67 (5.58) [-16.48, 4.58]; 83%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LLOut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-8.56 (7.15) [-23.20, 0.00]; 80%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NeglectOut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-1.03 (6.75) [-14.16, 13.09]; 79%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FOIS_T1T2_Change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+3.50 (6.86) [-8.42, 19.73]; 76%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Gout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+3.83 (4.77) [-3.68, 14.75]; 76%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LanguageOut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+4.90 (4.95) [0.00, 16.35]; 74%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FOIS1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+5.30 (5.49) [0.00, 18.28]; 73%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RLOut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-6.84 (7.27) [-23.95, 0.00]; 72%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Psychiatric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-2.31 (2.66) [-8.77, 0.43]; 70%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</w:tr>
    </w:tbl>
    <w:p/>
    <w:p>
      <w:pPr>
        <w:jc w:val="center"/>
      </w:pPr>
      <w:r>
        <w:rPr>
          <w:b/>
          <w:sz w:val="20"/>
        </w:rPr>
        <w:t>Supplementary Table S3. Full stable coefficient details by predictor-model pairing</w:t>
      </w:r>
    </w:p>
    <w:p>
      <w:pPr>
        <w:jc w:val="center"/>
      </w:pPr>
      <w:r>
        <w:rPr>
          <w:sz w:val="16"/>
        </w:rPr>
        <w:t>This table retains the detailed coefficient rows for every stable predictor-model pairing.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Rank</w:t>
            </w:r>
          </w:p>
        </w:tc>
        <w:tc>
          <w:tcPr>
            <w:tcW w:type="dxa" w:w="130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Acronym</w:t>
            </w:r>
          </w:p>
        </w:tc>
        <w:tc>
          <w:tcPr>
            <w:tcW w:type="dxa" w:w="130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Model_label</w:t>
            </w:r>
          </w:p>
        </w:tc>
        <w:tc>
          <w:tcPr>
            <w:tcW w:type="dxa" w:w="130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Publication name</w:t>
            </w:r>
          </w:p>
        </w:tc>
        <w:tc>
          <w:tcPr>
            <w:tcW w:type="dxa" w:w="130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Input vars</w:t>
            </w:r>
          </w:p>
        </w:tc>
        <w:tc>
          <w:tcPr>
            <w:tcW w:type="dxa" w:w="130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Predictor</w:t>
            </w:r>
          </w:p>
        </w:tc>
        <w:tc>
          <w:tcPr>
            <w:tcW w:type="dxa" w:w="130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Full-fit Coef</w:t>
            </w:r>
          </w:p>
        </w:tc>
        <w:tc>
          <w:tcPr>
            <w:tcW w:type="dxa" w:w="130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Boot Mean Coef</w:t>
            </w:r>
          </w:p>
        </w:tc>
        <w:tc>
          <w:tcPr>
            <w:tcW w:type="dxa" w:w="130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Boot SD</w:t>
            </w:r>
          </w:p>
        </w:tc>
        <w:tc>
          <w:tcPr>
            <w:tcW w:type="dxa" w:w="130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95% CI</w:t>
            </w:r>
          </w:p>
        </w:tc>
        <w:tc>
          <w:tcPr>
            <w:tcW w:type="dxa" w:w="130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Sel Freq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Age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-32.46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-32.68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6.55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[-45.10, -20.00]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BBS1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78.31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77.72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10.98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[57.21, 98.78]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BBS_T1T2_Change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33.2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32.51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7.95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[17.14, 48.24]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BI_T1T2_Change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-9.54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-10.27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8.06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[-27.60, 0.28]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EuroQoL5D1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25.19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24.16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8.19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[9.05, 41.29]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EuroQoL5D_T1T2_Change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15.4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14.08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7.54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[0.00, 29.30]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96%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FOIS_T1T2_Change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1.42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3.5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6.86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[-8.42, 19.73]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76%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FuglSEN1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-4.51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-4.67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5.58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[-16.48, 4.58]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83%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FuglSEN_T1T2_Change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-5.05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-5.89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5.36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[-17.09, 3.03]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89%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FuglUE1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27.5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27.72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8.43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[11.02, 43.70]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FuglUE_T1T2_Change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14.24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13.52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6.23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[0.24, 25.45]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98%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Gait_Speed_1_Imputed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35.32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35.6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9.03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[18.88, 54.17]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IADL1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-0.0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0.46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5.92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[-10.61, 13.35]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77%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IADL_T1T2_Change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14.97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14.76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6.54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[1.88, 27.87]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99%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MNA1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-11.52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-10.94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6.0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[-22.38, 0.00]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96%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MNA_T1T2_Change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8.33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8.1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5.07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[-0.18, 18.34]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95%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MRS1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-16.46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-16.46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7.94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[-31.61, -0.92]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98%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MRS_T1T2_Change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-25.02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-24.47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8.79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[-41.33, -8.29]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99%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Sex, F0 M1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17.22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16.86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5.19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[7.29, 27.10]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ACA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6.3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6.88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5.31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[0.00, 18.22]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87%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Age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-33.34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-33.85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6.37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[-45.78, -21.18]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BBS1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63.93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62.54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10.0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[42.40, 81.97]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CAD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7.5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7.21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5.63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[0.00, 18.35]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87%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CKD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-6.34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-6.79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4.21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[-14.90, 0.00]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93%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Cellulitis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-5.02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-4.85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4.03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[-13.65, 0.00]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83%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Dementia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-6.22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-6.01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3.84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[-13.66, 0.00]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93%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Dyslipidemia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9.87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9.62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5.41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[0.00, 20.17]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96%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EuroQoL5D1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7.73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8.18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5.35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[0.00, 18.52]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92%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FuglUE1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21.23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21.26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6.67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[7.80, 34.22]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GIB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13.34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13.7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4.31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[5.26, 22.12]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Gait_Speed_1_Imputed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30.25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30.26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8.63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[13.79, 47.14]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Gout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2.92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3.83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4.77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[-3.68, 14.75]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76%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IADL1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-3.99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-5.48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5.09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[-16.65, 0.00]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78%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LVS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4.4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5.55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4.95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[-0.68, 15.83]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84%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Loc_Subcortical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-13.89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-11.13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5.77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[-21.97, 0.00]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96%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MNA1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-14.17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-14.68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5.77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[-26.00, -3.16]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99%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MRS1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-8.55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-9.56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6.27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[-21.49, 0.00]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91%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OldStroke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-14.42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-14.49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5.38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[-24.60, -3.41]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Psychiatric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-1.99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-2.31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2.66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[-8.77, 0.43]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Sex, F0 M1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15.95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15.9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5.16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[6.10, 25.81]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Side_Right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11.89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10.17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6.37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[0.00, 22.32]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89%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Undetermined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-4.99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-5.6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4.25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[-14.26, 0.00]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87%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ACA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5.84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8.23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5.87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[0.00, 21.71]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91%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Age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-31.32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-33.53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6.22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[-45.19, -20.87]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BBS1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64.33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63.94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9.52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[45.64, 81.84]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CAD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3.14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4.62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[0.00, 15.14]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CKD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-3.85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-6.77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4.67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[-16.54, 0.00]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89%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Cellulitis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-3.33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-5.37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4.21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[-14.37, 0.00]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86%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Dementia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-4.05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-4.39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3.63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[-12.39, 0.00]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84%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Dyslipidemia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8.38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9.11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5.17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[0.00, 19.70]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96%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EOMOut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12.49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14.31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6.43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[1.74, 26.68]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99%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EuroQoL5D1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4.72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8.49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5.58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[0.00, 19.64]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91%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FOIS1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5.49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[0.00, 18.28]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73%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FuglUE1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19.12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17.06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7.3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[2.63, 31.61]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99%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GIB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11.44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14.84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[5.10, 24.19]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Gait_Speed_1_Imputed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29.71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28.54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8.5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[12.01, 45.78]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IADL1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-0.0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-4.48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4.91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[-15.97, 0.25]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71%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LLOut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-4.81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-8.56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7.15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[-23.20, 0.00]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LVS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1.88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4.85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4.66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[-0.22, 15.12]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LanguageOut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0.0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4.9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4.95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[0.00, 16.35]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74%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Loc_Subcortical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-12.44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-9.32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[-20.20, 0.00]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94%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MNA1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-10.89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-14.96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5.65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[-25.87, -3.05]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99%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MRS1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-5.8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-9.21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6.49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[-22.46, 0.00]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89%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NeglectOut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-0.0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-1.03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6.75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[-14.16, 13.09]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79%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OldStroke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-12.84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-14.82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5.27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[-25.78, -4.86]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RLOut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-1.43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-6.84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7.27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[-23.95, 0.00]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72%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Sex, F0 M1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15.69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15.85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5.14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[6.07, 25.75]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Side_Right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9.76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11.21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7.93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[0.00, 26.91]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87%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Undetermined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-3.33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-5.68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4.14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[-14.66, 0.00]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88%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AIMS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Age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-39.17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-39.64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6.32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[-52.01, -27.24]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AIMS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BBS1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62.42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61.23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9.53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[42.55, 79.89]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AIMS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EuroQoL5D1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10.47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10.67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5.68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[0.00, 21.48]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95%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AIMS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FuglUE1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23.96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23.74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7.18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[10.07, 37.45]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AIMS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Gait_Speed_1_Imputed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33.06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33.06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8.46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[16.66, 49.35]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AIMS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IADL1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-3.46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-5.1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[-16.64, 1.53]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77%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AIMS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MNA1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-11.45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-11.89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5.42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[-22.08, 0.00]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97%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AIMS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MRS1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-6.19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-6.42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6.08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[-19.72, 0.54]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82%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AIMS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Sex, F0 M1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15.69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15.51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5.24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[5.19, 25.25]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BEDSIDE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Balance-Enhanced Demographic Speed Index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Age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-35.4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-35.1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5.92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[-46.15, -23.68]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BEDSIDE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Balance-Enhanced Demographic Speed Index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BBS1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69.04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68.6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8.64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[52.39, 86.17]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BEDSIDE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Balance-Enhanced Demographic Speed Index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Gait_Speed_1_Imputed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37.95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38.29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8.29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[20.56, 53.03]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  <w:tr>
        <w:tc>
          <w:tcPr>
            <w:tcW w:type="dxa" w:w="130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BEDSIDE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Model 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Balance-Enhanced Demographic Speed Index for Discharge Endurance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Sex, F0 M1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17.58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17.59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5.35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[7.43, 27.98]</w:t>
            </w:r>
          </w:p>
        </w:tc>
        <w:tc>
          <w:tcPr>
            <w:tcW w:type="dxa" w:w="1309"/>
            <w:vAlign w:val="center"/>
          </w:tcPr>
          <w:p>
            <w:pPr>
              <w:jc w:val="center"/>
            </w:pPr>
            <w:r>
              <w:rPr>
                <w:sz w:val="14"/>
              </w:rPr>
              <w:t>100%</w:t>
            </w:r>
          </w:p>
        </w:tc>
      </w:tr>
    </w:tbl>
    <w:p/>
    <w:sectPr w:rsidR="00FC693F" w:rsidRPr="0006063C" w:rsidSect="00034616">
      <w:pgSz w:w="1584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