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Internal performance differences across retained models were modest enough that the publication-facing comparison now emphasizes clinical parsimony rather than point-estimate rank. BEDSIDE is presented as the primary deployment model and AIMS as the secondary option because, relative to RESTORE, their weighted out-of-fold R² differed by -0.0551 and -0.0535, while weighted out-of-fold MAE increased by only +5.7 m and +5.3 m. Continuous calibration remained reasonably close to ideal across retained models (slopes 0.921-0.997; intercepts -0.9-1.6 m), but weighted out-of-fold MAE still ranged from 89.3 to 95.0 m, exceeding the 20.0-34.4 m 6MWT MCID benchmarks. The larger comparison models were COMPASS (11.6 observations per variable; 9 stable predictors at 70-89% selection frequency); CASCADE (8.7 observations per variable; 14 stable predictors at 70-89% selection frequency), and up to 6 stable predictors unique to a single complex model, supporting the interpretation that added complexity mainly reflects coefficient instability. Collinearity diagnostics showed a strong physiologic correlation between BBS1 and Gait_Speed_1 (r=0.793) but only moderate VIFs (BBS1 3.01, Gait_Speed_1 2.71, Age 1.14, FuglUE1 1.33). These findings remain based on internal validation only and should be treated as provisional until tested in a distinct external cohort.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