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Longitudinal 6-minute walk test (6MWT) recovery was summarized for the full cohort and stratified by post-acute care (PAC) length-of-stay groups (≤21, 22–42, and &gt;42 days) and completion status, using milestone-defined recovery profiles (Never, T1, T2, T3, T4). Descriptive trajectory metrics were reported as mean (median) [interquartile range] with 95% confidence intervals for initial 6MWT and phase-specific changes. For modeling, the discharge 6MWT distance (continuous endpoint) was estimated in a two-part framework: bootstrap LASSO was used for predictor selection and coefficient stability, then inverse probability of completion weighting (IPCW) was applied in outcome modeling to reduce bias from differential program completion, with performance summarized by cross-validated/weighted out-of-fold R² and mean absolute error. Initial gait speed at admission was imputed as 0 m/s for patients unable to walk at baseline and retained as Gait_Speed_1_Imputed in candidate feature sets. Binary discharge walking status (6MWT&gt;0) was modeled separately from continuous distance prediction, and sensitivity analyses used pre-specified scenario bounds for PAC non-completers: a best-case scenario assuming all non-completers could walk at discharge (6MWT&gt;0) and a worst-case scenario assuming all non-completers could not walk (6MWT=0).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