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For publication-facing tables, retained models were reframed as statistically comparable rather than definitively rank ordered. The clinically parsimonious presentation now leads with BEDSIDE (4 variables) and AIMS (12 variables), while the original point-estimate ordering is preserved only as a supplementary reference. Continuous-model calibration was added by reusing the original Part 1 out-of-fold 6MWT4 predictions already stored for each retained LASSO model, then estimating calibration intercept and slope from mean-centered linear recalibration of observed 6MWT4 on those out-of-fold predictions. Decile-based calibration plots were generated for each retained model. To address overfitting concerns, we report outcome observations per variable together with stable-predictor frequency bands and model-unique stable predictors for the larger COMPASS and CASCADE models. Clinical interpretability was strengthened by benchmarking weighted out-of-fold MAE against previously used stroke-relevant 6MWT MCID anchors (20.0 m and 34.4 m) and by adding correlation/VIF diagnostics for BBS1, Gait_Speed_1, Age, and FuglUE1. No temporally or geographically distinct external validation cohort was available, so the revised documents now state explicitly that internal cross-validation and weighted out-of-fold estimates do not substitute for external validation before final model selection.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