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Supplementary Table 1. Baseline comparison of completers vs non-completers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Completers (n=577)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Non-completers (n=56)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Baseline Age (years, mean ± SD)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64.6 ± 12.6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67.1 ± 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Male Sex (n,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381 (66.0%)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41 (73.2%)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Ischemic Stroke Etiology (n,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493 (85.4%)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55 (98.2%)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Baseline Barthel Index (median, IQR)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50.0 [35.0, 60.0]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45.0 [30.0, 55.0]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Baseline Berg Balance Scale (mean ± SD)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29.3 ± 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20.0 ± 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Acute Admission NIHSS (median, IQR)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6.0 [4.0, 9.0]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7.0 [4.0, 10.2]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Acute Discharge NIHSS (median, IQR)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5.0 [3.0, 7.0]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5.0 [4.0, 7.2]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0.119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Gastrointestinal Bleeding (GIB) (n,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 (2.8%)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(5.4%)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0.232</w:t>
            </w:r>
          </w:p>
        </w:tc>
      </w:tr>
    </w:tbl>
    <w:p>
      <w:r>
        <w:t>Continuous mean±SD variables were compared with Welch t-test; median [IQR] variables with Mann–Whitney U test; categorical variables with Fisher's exact test. Ischemic stroke etiology was derived as HemorrhageStroke=0. Admission/discharge NIHSS were computed as sums of NIHSS item scores (In/Out components).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