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publication-facing tables, retained models were reframed as statistically comparable rather than definitively rank ordered. The clinically parsimonious presentation now leads with BEDSIDE (4 variables) and AIMS (12 variables), while the original point-estimate ordering is preserved only as a supplementary reference. Continuous-model calibration was added by refitting the retained IPCW-weighted Ridge models with the original 5-fold out-of-fold procedure among completers, then estimating calibration intercept and slope from weighted linear recalibration of observed 6MWT4 on out-of-fold predictions. Decile-based calibration plots were generated for each retained model. To address overfitting concerns, we report outcome observations per variable together with stable-predictor frequency bands and model-unique stable predictors for the larger COMPASS and CASCADE models. Clinical interpretability was strengthened by benchmarking weighted out-of-fold MAE against previously used stroke-relevant 6MWT MCID anchors (20.0 m and 34.4 m) and by adding correlation/VIF diagnostics for BBS1, Gait_Speed_1, Age, and FuglUE1. No temporally or geographically distinct external validation cohort was available, so the revised documents now state explicitly that internal cross-validation and weighted out-of-fold estimates do not substitute for external validation before final model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