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performance differences across retained models were modest enough that the publication-facing comparison now emphasizes clinical parsimony rather than point-estimate rank. BEDSIDE is presented as the primary deployment model and AIMS as the secondary option because, relative to RESTORE, their weighted out-of-fold R² differed by -0.0551 and -0.0535, while weighted out-of-fold MAE increased by only +5.7 m and +5.3 m. Continuous calibration remained reasonably close to ideal across retained models (slopes 0.921-0.997; intercepts 1.2-26.5 m), but weighted out-of-fold MAE still ranged from 89.3 to 95.0 m, exceeding the 20.0-34.4 m 6MWT MCID benchmarks. The larger COMPASS and CASCADE models operated at only 11.6 and 8.7 observations per variable, with 9 and 14 stable predictors appearing at only 70-89% selection frequency and CASCADE contributing 6 stable predictors unique to that model, supporting the interpretation that added complexity mainly reflects coefficient instability. Collinearity diagnostics showed a strong physiologic correlation between BBS1 and Gait_Speed_1 (r=0.793) but only moderate VIFs (BBS1 3.01, Gait_Speed_1 2.71, Age 1.14, FuglUE1 1.33). These findings remain based on internal validation only and should be treated as provisional until tested in a distinct external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