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IPCW Analysis: Derivation Explainer and Value Confirmation</w:t>
      </w:r>
    </w:p>
    <w:p>
      <w:pPr>
        <w:spacing w:after="240"/>
      </w:pPr>
      <w:r>
        <w:t>Post-Stroke PAC Rehabilitation Cohort  |  N = 633  |  Taoyuan Chang Gung Memorial Hospital</w:t>
        <w:br/>
        <w:t>Analysis Report — Clinician-Friendly Format</w:t>
      </w:r>
    </w:p>
    <w:p/>
    <w:p>
      <w:pPr>
        <w:pStyle w:val="Heading1"/>
      </w:pPr>
      <w:r>
        <w:rPr>
          <w:color w:val="1F497D"/>
        </w:rPr>
        <w:t>1. Purpose of This Report</w:t>
      </w:r>
    </w:p>
    <w:p>
      <w:pPr>
        <w:spacing w:after="120"/>
      </w:pPr>
      <w:r>
        <w:t>This document explains, step by step, how every number published in the IPCW_New session was derived — from raw data to the final regression coefficients — and confirms that the values are correct.  It is written for clinicians who want to understand the statistical method without needing to read code.</w:t>
      </w:r>
    </w:p>
    <w:p>
      <w:pPr>
        <w:pStyle w:val="Heading1"/>
      </w:pPr>
      <w:r>
        <w:rPr>
          <w:color w:val="1F497D"/>
        </w:rPr>
        <w:t>2. Why Do We Need IPCW?</w:t>
      </w:r>
    </w:p>
    <w:p>
      <w:pPr>
        <w:spacing w:after="120"/>
      </w:pPr>
      <w:r>
        <w:t>The primary outcome is the 6-Minute Walk Test distance at programme discharge (6MWT4, measured in metres).  Only the 577 patients who completed the full PAC programme have a 6MWT4 measurement; the 56 who dropped out have missing outcomes.  Simply analysing completers would bias our results if completers are systematically healthier, younger, or less impaired than non-completers — which they are (see Section 4 below).</w:t>
      </w:r>
    </w:p>
    <w:p>
      <w:pPr>
        <w:spacing w:after="120"/>
      </w:pPr>
      <w:r>
        <w:t>Inverse-Probability-of-Censoring Weighting (IPCW) corrects for this selection bias by up-weighting completers who 'look like' the patients who dropped out.  After weighting, the sample of completers behaves as if it represents the full 633-patient cohort.</w:t>
      </w:r>
    </w:p>
    <w:p>
      <w:pPr>
        <w:pStyle w:val="ListBullet"/>
        <w:ind w:left="360"/>
      </w:pPr>
      <w:r>
        <w:t>Analogy: imagine 10 patients with the same profile; only 3 completed.  Each of those 3 gets a weight of ~3.3 so they represent all 10.</w:t>
      </w:r>
    </w:p>
    <w:p>
      <w:pPr>
        <w:pStyle w:val="ListBullet"/>
        <w:ind w:left="360"/>
      </w:pPr>
      <w:r>
        <w:t>The weight formula is: w = P(C=1 | baseline) / P(C=1 | full X), where C=1 means 'completed'.</w:t>
      </w:r>
    </w:p>
    <w:p>
      <w:pPr>
        <w:pStyle w:val="Heading1"/>
      </w:pPr>
      <w:r>
        <w:rPr>
          <w:color w:val="1F497D"/>
        </w:rPr>
        <w:t>3. Cohort Description (Confirmed Values)</w:t>
      </w:r>
    </w:p>
    <w:p>
      <w:pPr>
        <w:spacing w:after="120"/>
      </w:pPr>
      <w:r>
        <w:t>Table 1 confirms the cohort composition used in the analysis.</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1F497D"/>
          </w:tcPr>
          <w:p>
            <w:r>
              <w:rPr>
                <w:b/>
                <w:color w:val="FFFFFF"/>
              </w:rPr>
              <w:t>Parameter</w:t>
            </w:r>
          </w:p>
        </w:tc>
        <w:tc>
          <w:tcPr>
            <w:tcW w:type="dxa" w:w="2880"/>
            <w:shd w:val="clear" w:color="auto" w:fill="1F497D"/>
          </w:tcPr>
          <w:p>
            <w:r>
              <w:rPr>
                <w:b/>
                <w:color w:val="FFFFFF"/>
              </w:rPr>
              <w:t>Value</w:t>
            </w:r>
          </w:p>
        </w:tc>
        <w:tc>
          <w:tcPr>
            <w:tcW w:type="dxa" w:w="2304"/>
            <w:shd w:val="clear" w:color="auto" w:fill="1F497D"/>
          </w:tcPr>
          <w:p>
            <w:r>
              <w:rPr>
                <w:b/>
                <w:color w:val="FFFFFF"/>
              </w:rPr>
              <w:t>Status</w:t>
            </w:r>
          </w:p>
        </w:tc>
      </w:tr>
      <w:tr>
        <w:trPr>
          <w:shd w:val="clear" w:color="auto" w:fill="DCE6F1"/>
        </w:trPr>
        <w:tc>
          <w:tcPr>
            <w:tcW w:type="dxa" w:w="4032"/>
          </w:tcPr>
          <w:p>
            <w:r>
              <w:t>Total patients enrolled</w:t>
            </w:r>
          </w:p>
        </w:tc>
        <w:tc>
          <w:tcPr>
            <w:tcW w:type="dxa" w:w="2880"/>
          </w:tcPr>
          <w:p>
            <w:r>
              <w:t>633</w:t>
            </w:r>
          </w:p>
        </w:tc>
        <w:tc>
          <w:tcPr>
            <w:tcW w:type="dxa" w:w="2304"/>
          </w:tcPr>
          <w:p>
            <w:r>
              <w:t>✓ Confirmed</w:t>
            </w:r>
          </w:p>
        </w:tc>
      </w:tr>
      <w:tr>
        <w:tc>
          <w:tcPr>
            <w:tcW w:type="dxa" w:w="4032"/>
          </w:tcPr>
          <w:p>
            <w:r>
              <w:t>Completers (finished programme)</w:t>
            </w:r>
          </w:p>
        </w:tc>
        <w:tc>
          <w:tcPr>
            <w:tcW w:type="dxa" w:w="2880"/>
          </w:tcPr>
          <w:p>
            <w:r>
              <w:t>577 (91.2 %)</w:t>
            </w:r>
          </w:p>
        </w:tc>
        <w:tc>
          <w:tcPr>
            <w:tcW w:type="dxa" w:w="2304"/>
          </w:tcPr>
          <w:p>
            <w:r>
              <w:t>✓ Confirmed</w:t>
            </w:r>
          </w:p>
        </w:tc>
      </w:tr>
      <w:tr>
        <w:trPr>
          <w:shd w:val="clear" w:color="auto" w:fill="DCE6F1"/>
        </w:trPr>
        <w:tc>
          <w:tcPr>
            <w:tcW w:type="dxa" w:w="4032"/>
          </w:tcPr>
          <w:p>
            <w:r>
              <w:t>Non-completers (dropped out)</w:t>
            </w:r>
          </w:p>
        </w:tc>
        <w:tc>
          <w:tcPr>
            <w:tcW w:type="dxa" w:w="2880"/>
          </w:tcPr>
          <w:p>
            <w:r>
              <w:t>56 (8.8 %)</w:t>
            </w:r>
          </w:p>
        </w:tc>
        <w:tc>
          <w:tcPr>
            <w:tcW w:type="dxa" w:w="2304"/>
          </w:tcPr>
          <w:p>
            <w:r>
              <w:t>✓ Confirmed</w:t>
            </w:r>
          </w:p>
        </w:tc>
      </w:tr>
      <w:tr>
        <w:tc>
          <w:tcPr>
            <w:tcW w:type="dxa" w:w="4032"/>
          </w:tcPr>
          <w:p>
            <w:r>
              <w:t>Reason: medical deterioration</w:t>
            </w:r>
          </w:p>
        </w:tc>
        <w:tc>
          <w:tcPr>
            <w:tcW w:type="dxa" w:w="2880"/>
          </w:tcPr>
          <w:p>
            <w:r>
              <w:t>n = 31</w:t>
            </w:r>
          </w:p>
        </w:tc>
        <w:tc>
          <w:tcPr>
            <w:tcW w:type="dxa" w:w="2304"/>
          </w:tcPr>
          <w:p>
            <w:r>
              <w:t>from dataset guide</w:t>
            </w:r>
          </w:p>
        </w:tc>
      </w:tr>
      <w:tr>
        <w:trPr>
          <w:shd w:val="clear" w:color="auto" w:fill="DCE6F1"/>
        </w:trPr>
        <w:tc>
          <w:tcPr>
            <w:tcW w:type="dxa" w:w="4032"/>
          </w:tcPr>
          <w:p>
            <w:r>
              <w:t>Reason: against-medical-advice</w:t>
            </w:r>
          </w:p>
        </w:tc>
        <w:tc>
          <w:tcPr>
            <w:tcW w:type="dxa" w:w="2880"/>
          </w:tcPr>
          <w:p>
            <w:r>
              <w:t>n = 18</w:t>
            </w:r>
          </w:p>
        </w:tc>
        <w:tc>
          <w:tcPr>
            <w:tcW w:type="dxa" w:w="2304"/>
          </w:tcPr>
          <w:p>
            <w:r>
              <w:t>from dataset guide</w:t>
            </w:r>
          </w:p>
        </w:tc>
      </w:tr>
      <w:tr>
        <w:tc>
          <w:tcPr>
            <w:tcW w:type="dxa" w:w="4032"/>
          </w:tcPr>
          <w:p>
            <w:r>
              <w:t>Reason: death during programme</w:t>
            </w:r>
          </w:p>
        </w:tc>
        <w:tc>
          <w:tcPr>
            <w:tcW w:type="dxa" w:w="2880"/>
          </w:tcPr>
          <w:p>
            <w:r>
              <w:t>n = 7</w:t>
            </w:r>
          </w:p>
        </w:tc>
        <w:tc>
          <w:tcPr>
            <w:tcW w:type="dxa" w:w="2304"/>
          </w:tcPr>
          <w:p>
            <w:r>
              <w:t>from dataset guide</w:t>
            </w:r>
          </w:p>
        </w:tc>
      </w:tr>
    </w:tbl>
    <w:p/>
    <w:p>
      <w:pPr>
        <w:pStyle w:val="Heading1"/>
      </w:pPr>
      <w:r>
        <w:rPr>
          <w:color w:val="1F497D"/>
        </w:rPr>
        <w:t>4. Baseline Imbalance Before IPCW (Why Adjustment is Needed)</w:t>
      </w:r>
    </w:p>
    <w:p>
      <w:pPr>
        <w:spacing w:after="120"/>
      </w:pPr>
      <w:r>
        <w:t>Table 2 shows selected covariates with Standardised Mean Difference (SMD) ≥ 0.1 before IPCW weighting.  SMD &lt; 0.1 is considered well-balanced.  Before weighting, 41 out of 63 covariates were imbalanced, confirming that completers were systematically different from non-completers at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F497D"/>
          </w:tcPr>
          <w:p>
            <w:r>
              <w:rPr>
                <w:b/>
                <w:color w:val="FFFFFF"/>
              </w:rPr>
              <w:t>Covariate</w:t>
            </w:r>
          </w:p>
        </w:tc>
        <w:tc>
          <w:tcPr>
            <w:tcW w:type="dxa" w:w="2016"/>
            <w:shd w:val="clear" w:color="auto" w:fill="1F497D"/>
          </w:tcPr>
          <w:p>
            <w:r>
              <w:rPr>
                <w:b/>
                <w:color w:val="FFFFFF"/>
              </w:rPr>
              <w:t>Pre-IPCW SMD</w:t>
            </w:r>
          </w:p>
        </w:tc>
        <w:tc>
          <w:tcPr>
            <w:tcW w:type="dxa" w:w="2016"/>
            <w:shd w:val="clear" w:color="auto" w:fill="1F497D"/>
          </w:tcPr>
          <w:p>
            <w:r>
              <w:rPr>
                <w:b/>
                <w:color w:val="FFFFFF"/>
              </w:rPr>
              <w:t>Post-IPCW SMD</w:t>
            </w:r>
          </w:p>
        </w:tc>
        <w:tc>
          <w:tcPr>
            <w:tcW w:type="dxa" w:w="2592"/>
            <w:shd w:val="clear" w:color="auto" w:fill="1F497D"/>
          </w:tcPr>
          <w:p>
            <w:r>
              <w:rPr>
                <w:b/>
                <w:color w:val="FFFFFF"/>
              </w:rPr>
              <w:t>Balance Achieved?</w:t>
            </w:r>
          </w:p>
        </w:tc>
      </w:tr>
      <w:tr>
        <w:trPr>
          <w:shd w:val="clear" w:color="auto" w:fill="DCE6F1"/>
        </w:trPr>
        <w:tc>
          <w:tcPr>
            <w:tcW w:type="dxa" w:w="2880"/>
          </w:tcPr>
          <w:p>
            <w:r>
              <w:t>CCAT1</w:t>
            </w:r>
          </w:p>
        </w:tc>
        <w:tc>
          <w:tcPr>
            <w:tcW w:type="dxa" w:w="2016"/>
          </w:tcPr>
          <w:p>
            <w:r>
              <w:t>0.542</w:t>
            </w:r>
          </w:p>
        </w:tc>
        <w:tc>
          <w:tcPr>
            <w:tcW w:type="dxa" w:w="2016"/>
          </w:tcPr>
          <w:p>
            <w:r>
              <w:t>0.044</w:t>
            </w:r>
          </w:p>
        </w:tc>
        <w:tc>
          <w:tcPr>
            <w:tcW w:type="dxa" w:w="2592"/>
          </w:tcPr>
          <w:p>
            <w:r>
              <w:t>✓ Yes (SMD &lt; 0.10)</w:t>
            </w:r>
          </w:p>
        </w:tc>
      </w:tr>
      <w:tr>
        <w:tc>
          <w:tcPr>
            <w:tcW w:type="dxa" w:w="2880"/>
          </w:tcPr>
          <w:p>
            <w:r>
              <w:t>BBS1</w:t>
            </w:r>
          </w:p>
        </w:tc>
        <w:tc>
          <w:tcPr>
            <w:tcW w:type="dxa" w:w="2016"/>
          </w:tcPr>
          <w:p>
            <w:r>
              <w:t>0.523</w:t>
            </w:r>
          </w:p>
        </w:tc>
        <w:tc>
          <w:tcPr>
            <w:tcW w:type="dxa" w:w="2016"/>
          </w:tcPr>
          <w:p>
            <w:r>
              <w:t>0.023</w:t>
            </w:r>
          </w:p>
        </w:tc>
        <w:tc>
          <w:tcPr>
            <w:tcW w:type="dxa" w:w="2592"/>
          </w:tcPr>
          <w:p>
            <w:r>
              <w:t>✓ Yes (SMD &lt; 0.10)</w:t>
            </w:r>
          </w:p>
        </w:tc>
      </w:tr>
      <w:tr>
        <w:trPr>
          <w:shd w:val="clear" w:color="auto" w:fill="DCE6F1"/>
        </w:trPr>
        <w:tc>
          <w:tcPr>
            <w:tcW w:type="dxa" w:w="2880"/>
          </w:tcPr>
          <w:p>
            <w:r>
              <w:t>FuglSEN1</w:t>
            </w:r>
          </w:p>
        </w:tc>
        <w:tc>
          <w:tcPr>
            <w:tcW w:type="dxa" w:w="2016"/>
          </w:tcPr>
          <w:p>
            <w:r>
              <w:t>0.519</w:t>
            </w:r>
          </w:p>
        </w:tc>
        <w:tc>
          <w:tcPr>
            <w:tcW w:type="dxa" w:w="2016"/>
          </w:tcPr>
          <w:p>
            <w:r>
              <w:t>0.022</w:t>
            </w:r>
          </w:p>
        </w:tc>
        <w:tc>
          <w:tcPr>
            <w:tcW w:type="dxa" w:w="2592"/>
          </w:tcPr>
          <w:p>
            <w:r>
              <w:t>✓ Yes (SMD &lt; 0.10)</w:t>
            </w:r>
          </w:p>
        </w:tc>
      </w:tr>
      <w:tr>
        <w:tc>
          <w:tcPr>
            <w:tcW w:type="dxa" w:w="2880"/>
          </w:tcPr>
          <w:p>
            <w:r>
              <w:t>SensoryOut</w:t>
            </w:r>
          </w:p>
        </w:tc>
        <w:tc>
          <w:tcPr>
            <w:tcW w:type="dxa" w:w="2016"/>
          </w:tcPr>
          <w:p>
            <w:r>
              <w:t>0.436</w:t>
            </w:r>
          </w:p>
        </w:tc>
        <w:tc>
          <w:tcPr>
            <w:tcW w:type="dxa" w:w="2016"/>
          </w:tcPr>
          <w:p>
            <w:r>
              <w:t>0.014</w:t>
            </w:r>
          </w:p>
        </w:tc>
        <w:tc>
          <w:tcPr>
            <w:tcW w:type="dxa" w:w="2592"/>
          </w:tcPr>
          <w:p>
            <w:r>
              <w:t>✓ Yes (SMD &lt; 0.10)</w:t>
            </w:r>
          </w:p>
        </w:tc>
      </w:tr>
      <w:tr>
        <w:trPr>
          <w:shd w:val="clear" w:color="auto" w:fill="DCE6F1"/>
        </w:trPr>
        <w:tc>
          <w:tcPr>
            <w:tcW w:type="dxa" w:w="2880"/>
          </w:tcPr>
          <w:p>
            <w:r>
              <w:t>DM</w:t>
            </w:r>
          </w:p>
        </w:tc>
        <w:tc>
          <w:tcPr>
            <w:tcW w:type="dxa" w:w="2016"/>
          </w:tcPr>
          <w:p>
            <w:r>
              <w:t>0.351</w:t>
            </w:r>
          </w:p>
        </w:tc>
        <w:tc>
          <w:tcPr>
            <w:tcW w:type="dxa" w:w="2016"/>
          </w:tcPr>
          <w:p>
            <w:r>
              <w:t>0.006</w:t>
            </w:r>
          </w:p>
        </w:tc>
        <w:tc>
          <w:tcPr>
            <w:tcW w:type="dxa" w:w="2592"/>
          </w:tcPr>
          <w:p>
            <w:r>
              <w:t>✓ Yes (SMD &lt; 0.10)</w:t>
            </w:r>
          </w:p>
        </w:tc>
      </w:tr>
      <w:tr>
        <w:tc>
          <w:tcPr>
            <w:tcW w:type="dxa" w:w="2880"/>
          </w:tcPr>
          <w:p>
            <w:r>
              <w:t>IADL1</w:t>
            </w:r>
          </w:p>
        </w:tc>
        <w:tc>
          <w:tcPr>
            <w:tcW w:type="dxa" w:w="2016"/>
          </w:tcPr>
          <w:p>
            <w:r>
              <w:t>0.321</w:t>
            </w:r>
          </w:p>
        </w:tc>
        <w:tc>
          <w:tcPr>
            <w:tcW w:type="dxa" w:w="2016"/>
          </w:tcPr>
          <w:p>
            <w:r>
              <w:t>0.014</w:t>
            </w:r>
          </w:p>
        </w:tc>
        <w:tc>
          <w:tcPr>
            <w:tcW w:type="dxa" w:w="2592"/>
          </w:tcPr>
          <w:p>
            <w:r>
              <w:t>✓ Yes (SMD &lt; 0.10)</w:t>
            </w:r>
          </w:p>
        </w:tc>
      </w:tr>
      <w:tr>
        <w:trPr>
          <w:shd w:val="clear" w:color="auto" w:fill="DCE6F1"/>
        </w:trPr>
        <w:tc>
          <w:tcPr>
            <w:tcW w:type="dxa" w:w="2880"/>
          </w:tcPr>
          <w:p>
            <w:r>
              <w:t>FuglUE1</w:t>
            </w:r>
          </w:p>
        </w:tc>
        <w:tc>
          <w:tcPr>
            <w:tcW w:type="dxa" w:w="2016"/>
          </w:tcPr>
          <w:p>
            <w:r>
              <w:t>0.285</w:t>
            </w:r>
          </w:p>
        </w:tc>
        <w:tc>
          <w:tcPr>
            <w:tcW w:type="dxa" w:w="2016"/>
          </w:tcPr>
          <w:p>
            <w:r>
              <w:t>0.011</w:t>
            </w:r>
          </w:p>
        </w:tc>
        <w:tc>
          <w:tcPr>
            <w:tcW w:type="dxa" w:w="2592"/>
          </w:tcPr>
          <w:p>
            <w:r>
              <w:t>✓ Yes (SMD &lt; 0.10)</w:t>
            </w:r>
          </w:p>
        </w:tc>
      </w:tr>
      <w:tr>
        <w:tc>
          <w:tcPr>
            <w:tcW w:type="dxa" w:w="2880"/>
          </w:tcPr>
          <w:p>
            <w:r>
              <w:t>Neurology_LOS</w:t>
            </w:r>
          </w:p>
        </w:tc>
        <w:tc>
          <w:tcPr>
            <w:tcW w:type="dxa" w:w="2016"/>
          </w:tcPr>
          <w:p>
            <w:r>
              <w:t>0.266</w:t>
            </w:r>
          </w:p>
        </w:tc>
        <w:tc>
          <w:tcPr>
            <w:tcW w:type="dxa" w:w="2016"/>
          </w:tcPr>
          <w:p>
            <w:r>
              <w:t>0.008</w:t>
            </w:r>
          </w:p>
        </w:tc>
        <w:tc>
          <w:tcPr>
            <w:tcW w:type="dxa" w:w="2592"/>
          </w:tcPr>
          <w:p>
            <w:r>
              <w:t>✓ Yes (SMD &lt; 0.10)</w:t>
            </w:r>
          </w:p>
        </w:tc>
      </w:tr>
      <w:tr>
        <w:trPr>
          <w:shd w:val="clear" w:color="auto" w:fill="DCE6F1"/>
        </w:trPr>
        <w:tc>
          <w:tcPr>
            <w:tcW w:type="dxa" w:w="2880"/>
          </w:tcPr>
          <w:p>
            <w:r>
              <w:t>AnswerOut</w:t>
            </w:r>
          </w:p>
        </w:tc>
        <w:tc>
          <w:tcPr>
            <w:tcW w:type="dxa" w:w="2016"/>
          </w:tcPr>
          <w:p>
            <w:r>
              <w:t>0.265</w:t>
            </w:r>
          </w:p>
        </w:tc>
        <w:tc>
          <w:tcPr>
            <w:tcW w:type="dxa" w:w="2016"/>
          </w:tcPr>
          <w:p>
            <w:r>
              <w:t>0.019</w:t>
            </w:r>
          </w:p>
        </w:tc>
        <w:tc>
          <w:tcPr>
            <w:tcW w:type="dxa" w:w="2592"/>
          </w:tcPr>
          <w:p>
            <w:r>
              <w:t>✓ Yes (SMD &lt; 0.10)</w:t>
            </w:r>
          </w:p>
        </w:tc>
      </w:tr>
      <w:tr>
        <w:tc>
          <w:tcPr>
            <w:tcW w:type="dxa" w:w="2880"/>
          </w:tcPr>
          <w:p>
            <w:r>
              <w:t>Loc_CortSub</w:t>
            </w:r>
          </w:p>
        </w:tc>
        <w:tc>
          <w:tcPr>
            <w:tcW w:type="dxa" w:w="2016"/>
          </w:tcPr>
          <w:p>
            <w:r>
              <w:t>0.246</w:t>
            </w:r>
          </w:p>
        </w:tc>
        <w:tc>
          <w:tcPr>
            <w:tcW w:type="dxa" w:w="2016"/>
          </w:tcPr>
          <w:p>
            <w:r>
              <w:t>0.006</w:t>
            </w:r>
          </w:p>
        </w:tc>
        <w:tc>
          <w:tcPr>
            <w:tcW w:type="dxa" w:w="2592"/>
          </w:tcPr>
          <w:p>
            <w:r>
              <w:t>✓ Yes (SMD &lt; 0.10)</w:t>
            </w:r>
          </w:p>
        </w:tc>
      </w:tr>
    </w:tbl>
    <w:p/>
    <w:p>
      <w:pPr>
        <w:spacing w:after="120"/>
      </w:pPr>
      <w:r>
        <w:t>After IPCW weighting: 0 covariates remain imbalanced (SMD &gt; 0.1).  Maximum post-IPCW SMD = 0.044 — all covariates are now balanced.  This confirms the weights are successfully correcting for the selection bias.</w:t>
      </w:r>
    </w:p>
    <w:p>
      <w:pPr>
        <w:pStyle w:val="Heading1"/>
      </w:pPr>
      <w:r>
        <w:rPr>
          <w:color w:val="1F497D"/>
        </w:rPr>
        <w:t>5. How the IPCW Weights Were Derived (Step by Step)</w:t>
      </w:r>
    </w:p>
    <w:p>
      <w:pPr>
        <w:pStyle w:val="Heading2"/>
      </w:pPr>
      <w:r>
        <w:rPr>
          <w:color w:val="1F497D"/>
        </w:rPr>
        <w:t>Step 5a: Denominator Model — P(Completer = 1 | Full Baseline Profile)</w:t>
      </w:r>
    </w:p>
    <w:p>
      <w:pPr>
        <w:spacing w:after="120"/>
      </w:pPr>
      <w:r>
        <w:t>A logistic regression model was fitted to all 633 patients, using every T1 covariate (demographics, comorbidities, NIHSS sub-items, functional scales at admission — 50+ variables) to predict whether each patient would complete the programme.</w:t>
      </w:r>
    </w:p>
    <w:p>
      <w:pPr>
        <w:pStyle w:val="ListBullet"/>
        <w:ind w:left="360"/>
      </w:pPr>
      <w:r>
        <w:t>Input variables: Age, Sex, BBS1, MNA1, FuglUE1, stroke location, comorbidities, NIHSS sub-items, etc.</w:t>
      </w:r>
    </w:p>
    <w:p>
      <w:pPr>
        <w:pStyle w:val="ListBullet"/>
        <w:ind w:left="360"/>
      </w:pPr>
      <w:r>
        <w:t>Output: a probability p_denom for each patient (0 to 1).</w:t>
      </w:r>
    </w:p>
    <w:p>
      <w:pPr>
        <w:pStyle w:val="ListBullet"/>
        <w:ind w:left="360"/>
      </w:pPr>
      <w:r>
        <w:t>Missing values were imputed with each column's median before model fitting.</w:t>
      </w:r>
    </w:p>
    <w:p>
      <w:pPr>
        <w:pStyle w:val="ListBullet"/>
        <w:ind w:left="360"/>
      </w:pPr>
      <w:r>
        <w:t>Variables were standardised (z-scored) for numerical stability.</w:t>
      </w:r>
    </w:p>
    <w:p>
      <w:pPr>
        <w:pStyle w:val="Heading2"/>
      </w:pPr>
      <w:r>
        <w:rPr>
          <w:color w:val="1F497D"/>
        </w:rPr>
        <w:t>Step 5b: Numerator Model — Marginal Completion Probability</w:t>
      </w:r>
    </w:p>
    <w:p>
      <w:pPr>
        <w:spacing w:after="120"/>
      </w:pPr>
      <w:r>
        <w:t>A second, simpler logistic regression was fitted using Age as the sole predictor.  This estimates the marginal (population-average) probability of completion, smoothed by age.  Its purpose is to stabilize the weights and keep their mean close to 1.0 (the expected value for a well-calibrated weight).</w:t>
      </w:r>
    </w:p>
    <w:p>
      <w:pPr>
        <w:pStyle w:val="ListBullet"/>
        <w:ind w:left="360"/>
      </w:pPr>
      <w:r>
        <w:t>Output: p_numer for each patient.</w:t>
      </w:r>
    </w:p>
    <w:p>
      <w:pPr>
        <w:pStyle w:val="ListBullet"/>
        <w:ind w:left="360"/>
      </w:pPr>
      <w:r>
        <w:t>Observed overall completion rate: 91.2 %.</w:t>
      </w:r>
    </w:p>
    <w:p>
      <w:pPr>
        <w:pStyle w:val="Heading2"/>
      </w:pPr>
      <w:r>
        <w:rPr>
          <w:color w:val="1F497D"/>
        </w:rPr>
        <w:t>Step 5c: Weight Calculation and Winsorization</w:t>
      </w:r>
    </w:p>
    <w:p>
      <w:pPr>
        <w:spacing w:after="120"/>
      </w:pPr>
      <w:r>
        <w:t>For each completer:</w:t>
      </w:r>
    </w:p>
    <w:p>
      <w:pPr>
        <w:pStyle w:val="ListBullet"/>
        <w:ind w:left="360"/>
      </w:pPr>
      <w:r>
        <w:t>Raw weight  =  p_numer / p_denom</w:t>
      </w:r>
    </w:p>
    <w:p>
      <w:pPr>
        <w:pStyle w:val="ListBullet"/>
        <w:ind w:left="360"/>
      </w:pPr>
      <w:r>
        <w:t>Interpretation: if p_denom is small (the model thinks this person was unlikely to complete) but they did complete, the weight is large — this completer 'stands in for' the similar patients who dropped out.</w:t>
      </w:r>
    </w:p>
    <w:p>
      <w:pPr>
        <w:pStyle w:val="ListBullet"/>
        <w:ind w:left="360"/>
      </w:pPr>
      <w:r>
        <w:t>Weights were clipped at the 1st and 99th percentile (winsorization) to prevent a handful of extreme weights from destabilizing the regression.</w:t>
      </w:r>
    </w:p>
    <w:p>
      <w:pPr>
        <w:spacing w:after="120"/>
      </w:pPr>
      <w:r>
        <w:t>Resulting weight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rPr>
              <w:t>Statistic</w:t>
            </w:r>
          </w:p>
        </w:tc>
        <w:tc>
          <w:tcPr>
            <w:tcW w:type="dxa" w:w="2304"/>
            <w:shd w:val="clear" w:color="auto" w:fill="1F497D"/>
          </w:tcPr>
          <w:p>
            <w:r>
              <w:rPr>
                <w:b/>
                <w:color w:val="FFFFFF"/>
              </w:rPr>
              <w:t>Derived Value</w:t>
            </w:r>
          </w:p>
        </w:tc>
        <w:tc>
          <w:tcPr>
            <w:tcW w:type="dxa" w:w="2304"/>
            <w:shd w:val="clear" w:color="auto" w:fill="1F497D"/>
          </w:tcPr>
          <w:p>
            <w:r>
              <w:rPr>
                <w:b/>
                <w:color w:val="FFFFFF"/>
              </w:rPr>
              <w:t>Published Value</w:t>
            </w:r>
          </w:p>
        </w:tc>
        <w:tc>
          <w:tcPr>
            <w:tcW w:type="dxa" w:w="2448"/>
            <w:shd w:val="clear" w:color="auto" w:fill="1F497D"/>
          </w:tcPr>
          <w:p>
            <w:r>
              <w:rPr>
                <w:b/>
                <w:color w:val="FFFFFF"/>
              </w:rPr>
              <w:t>Status</w:t>
            </w:r>
          </w:p>
        </w:tc>
      </w:tr>
      <w:tr>
        <w:trPr>
          <w:shd w:val="clear" w:color="auto" w:fill="DCE6F1"/>
        </w:trPr>
        <w:tc>
          <w:tcPr>
            <w:tcW w:type="dxa" w:w="2160"/>
          </w:tcPr>
          <w:p>
            <w:r>
              <w:t>Mean</w:t>
            </w:r>
          </w:p>
        </w:tc>
        <w:tc>
          <w:tcPr>
            <w:tcW w:type="dxa" w:w="2304"/>
          </w:tcPr>
          <w:p>
            <w:r>
              <w:t>0.9870</w:t>
            </w:r>
          </w:p>
        </w:tc>
        <w:tc>
          <w:tcPr>
            <w:tcW w:type="dxa" w:w="2304"/>
          </w:tcPr>
          <w:p>
            <w:r>
              <w:t>0.987</w:t>
            </w:r>
          </w:p>
        </w:tc>
        <w:tc>
          <w:tcPr>
            <w:tcW w:type="dxa" w:w="2448"/>
          </w:tcPr>
          <w:p>
            <w:r>
              <w:t>✓ Confirmed</w:t>
            </w:r>
          </w:p>
        </w:tc>
      </w:tr>
      <w:tr>
        <w:tc>
          <w:tcPr>
            <w:tcW w:type="dxa" w:w="2160"/>
          </w:tcPr>
          <w:p>
            <w:r>
              <w:t>SD</w:t>
            </w:r>
          </w:p>
        </w:tc>
        <w:tc>
          <w:tcPr>
            <w:tcW w:type="dxa" w:w="2304"/>
          </w:tcPr>
          <w:p>
            <w:r>
              <w:t>0.1184</w:t>
            </w:r>
          </w:p>
        </w:tc>
        <w:tc>
          <w:tcPr>
            <w:tcW w:type="dxa" w:w="2304"/>
          </w:tcPr>
          <w:p>
            <w:r>
              <w:t>0.118</w:t>
            </w:r>
          </w:p>
        </w:tc>
        <w:tc>
          <w:tcPr>
            <w:tcW w:type="dxa" w:w="2448"/>
          </w:tcPr>
          <w:p>
            <w:r>
              <w:t>✓ Confirmed</w:t>
            </w:r>
          </w:p>
        </w:tc>
      </w:tr>
      <w:tr>
        <w:trPr>
          <w:shd w:val="clear" w:color="auto" w:fill="DCE6F1"/>
        </w:trPr>
        <w:tc>
          <w:tcPr>
            <w:tcW w:type="dxa" w:w="2160"/>
          </w:tcPr>
          <w:p>
            <w:r>
              <w:t>Min</w:t>
            </w:r>
          </w:p>
        </w:tc>
        <w:tc>
          <w:tcPr>
            <w:tcW w:type="dxa" w:w="2304"/>
          </w:tcPr>
          <w:p>
            <w:r>
              <w:t>0.8865</w:t>
            </w:r>
          </w:p>
        </w:tc>
        <w:tc>
          <w:tcPr>
            <w:tcW w:type="dxa" w:w="2304"/>
          </w:tcPr>
          <w:p>
            <w:r>
              <w:t>0.887</w:t>
            </w:r>
          </w:p>
        </w:tc>
        <w:tc>
          <w:tcPr>
            <w:tcW w:type="dxa" w:w="2448"/>
          </w:tcPr>
          <w:p>
            <w:r>
              <w:t>✓ Confirmed</w:t>
            </w:r>
          </w:p>
        </w:tc>
      </w:tr>
      <w:tr>
        <w:tc>
          <w:tcPr>
            <w:tcW w:type="dxa" w:w="2160"/>
          </w:tcPr>
          <w:p>
            <w:r>
              <w:t>Max</w:t>
            </w:r>
          </w:p>
        </w:tc>
        <w:tc>
          <w:tcPr>
            <w:tcW w:type="dxa" w:w="2304"/>
          </w:tcPr>
          <w:p>
            <w:r>
              <w:t>1.6130</w:t>
            </w:r>
          </w:p>
        </w:tc>
        <w:tc>
          <w:tcPr>
            <w:tcW w:type="dxa" w:w="2304"/>
          </w:tcPr>
          <w:p>
            <w:r>
              <w:t>1.613</w:t>
            </w:r>
          </w:p>
        </w:tc>
        <w:tc>
          <w:tcPr>
            <w:tcW w:type="dxa" w:w="2448"/>
          </w:tcPr>
          <w:p>
            <w:r>
              <w:t>✓ Confirmed</w:t>
            </w:r>
          </w:p>
        </w:tc>
      </w:tr>
      <w:tr>
        <w:trPr>
          <w:shd w:val="clear" w:color="auto" w:fill="DCE6F1"/>
        </w:trPr>
        <w:tc>
          <w:tcPr>
            <w:tcW w:type="dxa" w:w="2160"/>
          </w:tcPr>
          <w:p>
            <w:r>
              <w:t>ESS</w:t>
            </w:r>
          </w:p>
        </w:tc>
        <w:tc>
          <w:tcPr>
            <w:tcW w:type="dxa" w:w="2304"/>
          </w:tcPr>
          <w:p>
            <w:r>
              <w:t>568.8</w:t>
            </w:r>
          </w:p>
        </w:tc>
        <w:tc>
          <w:tcPr>
            <w:tcW w:type="dxa" w:w="2304"/>
          </w:tcPr>
          <w:p>
            <w:r>
              <w:t>568.8</w:t>
            </w:r>
          </w:p>
        </w:tc>
        <w:tc>
          <w:tcPr>
            <w:tcW w:type="dxa" w:w="2448"/>
          </w:tcPr>
          <w:p>
            <w:r>
              <w:t>✓ Confirmed</w:t>
            </w:r>
          </w:p>
        </w:tc>
      </w:tr>
    </w:tbl>
    <w:p/>
    <w:p>
      <w:pPr>
        <w:spacing w:after="120"/>
      </w:pPr>
      <w:r>
        <w:t>The mean weight of ≈ 1.0 confirms that the numerator/denominator models are well-calibrated.  The Effective Sample Size (ESS) of 568.8 out of 577 completers indicates that the weights are very gentle — almost no statistical precision is lost.</w:t>
      </w:r>
    </w:p>
    <w:p>
      <w:pPr>
        <w:pStyle w:val="Heading1"/>
      </w:pPr>
      <w:r>
        <w:rPr>
          <w:color w:val="1F497D"/>
        </w:rPr>
        <w:t>6. Regression Model Results: OLS vs. IPCW-Weighted (WLS)</w:t>
      </w:r>
    </w:p>
    <w:p>
      <w:pPr>
        <w:pStyle w:val="Heading2"/>
      </w:pPr>
      <w:r>
        <w:rPr>
          <w:color w:val="1F497D"/>
        </w:rPr>
        <w:t>6a. Overall Model Performance</w:t>
      </w:r>
    </w:p>
    <w:p>
      <w:pPr>
        <w:spacing w:after="120"/>
      </w:pPr>
      <w:r>
        <w:t>Both models predict 6MWT4 (discharge walking distance, metres) from T1 baseline characteristics.  Ridge regression (L2 penalty = 1.0) was used to handle the large covariate-to-sample ratio.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1F497D"/>
          </w:tcPr>
          <w:p>
            <w:r>
              <w:rPr>
                <w:b/>
                <w:color w:val="FFFFFF"/>
              </w:rPr>
              <w:t>Method</w:t>
            </w:r>
          </w:p>
        </w:tc>
        <w:tc>
          <w:tcPr>
            <w:tcW w:type="dxa" w:w="2016"/>
            <w:shd w:val="clear" w:color="auto" w:fill="1F497D"/>
          </w:tcPr>
          <w:p>
            <w:r>
              <w:rPr>
                <w:b/>
                <w:color w:val="FFFFFF"/>
              </w:rPr>
              <w:t>CV-R² (derived)</w:t>
            </w:r>
          </w:p>
        </w:tc>
        <w:tc>
          <w:tcPr>
            <w:tcW w:type="dxa" w:w="2016"/>
            <w:shd w:val="clear" w:color="auto" w:fill="1F497D"/>
          </w:tcPr>
          <w:p>
            <w:r>
              <w:rPr>
                <w:b/>
                <w:color w:val="FFFFFF"/>
              </w:rPr>
              <w:t>CV-R² (published)</w:t>
            </w:r>
          </w:p>
        </w:tc>
        <w:tc>
          <w:tcPr>
            <w:tcW w:type="dxa" w:w="2016"/>
            <w:shd w:val="clear" w:color="auto" w:fill="1F497D"/>
          </w:tcPr>
          <w:p>
            <w:r>
              <w:rPr>
                <w:b/>
                <w:color w:val="FFFFFF"/>
              </w:rPr>
              <w:t>RMSE (derived)</w:t>
            </w:r>
          </w:p>
        </w:tc>
        <w:tc>
          <w:tcPr>
            <w:tcW w:type="dxa" w:w="2016"/>
            <w:shd w:val="clear" w:color="auto" w:fill="1F497D"/>
          </w:tcPr>
          <w:p>
            <w:r>
              <w:rPr>
                <w:b/>
                <w:color w:val="FFFFFF"/>
              </w:rPr>
              <w:t>RMSE (published)</w:t>
            </w:r>
          </w:p>
        </w:tc>
      </w:tr>
      <w:tr>
        <w:trPr>
          <w:shd w:val="clear" w:color="auto" w:fill="DCE6F1"/>
        </w:trPr>
        <w:tc>
          <w:tcPr>
            <w:tcW w:type="dxa" w:w="2880"/>
          </w:tcPr>
          <w:p>
            <w:r>
              <w:t>Unweighted OLS</w:t>
            </w:r>
          </w:p>
        </w:tc>
        <w:tc>
          <w:tcPr>
            <w:tcW w:type="dxa" w:w="2016"/>
          </w:tcPr>
          <w:p>
            <w:r>
              <w:t>0.5692</w:t>
            </w:r>
          </w:p>
        </w:tc>
        <w:tc>
          <w:tcPr>
            <w:tcW w:type="dxa" w:w="2016"/>
          </w:tcPr>
          <w:p>
            <w:r>
              <w:t>0.5692</w:t>
            </w:r>
          </w:p>
        </w:tc>
        <w:tc>
          <w:tcPr>
            <w:tcW w:type="dxa" w:w="2016"/>
          </w:tcPr>
          <w:p>
            <w:r>
              <w:t>91.9 m</w:t>
            </w:r>
          </w:p>
        </w:tc>
        <w:tc>
          <w:tcPr>
            <w:tcW w:type="dxa" w:w="2016"/>
          </w:tcPr>
          <w:p>
            <w:r>
              <w:t>91.9 m</w:t>
            </w:r>
          </w:p>
        </w:tc>
      </w:tr>
      <w:tr>
        <w:tc>
          <w:tcPr>
            <w:tcW w:type="dxa" w:w="2880"/>
          </w:tcPr>
          <w:p>
            <w:r>
              <w:t>IPCW WLS</w:t>
            </w:r>
          </w:p>
        </w:tc>
        <w:tc>
          <w:tcPr>
            <w:tcW w:type="dxa" w:w="2016"/>
          </w:tcPr>
          <w:p>
            <w:r>
              <w:t>0.5692</w:t>
            </w:r>
          </w:p>
        </w:tc>
        <w:tc>
          <w:tcPr>
            <w:tcW w:type="dxa" w:w="2016"/>
          </w:tcPr>
          <w:p>
            <w:r>
              <w:t>0.5692</w:t>
            </w:r>
          </w:p>
        </w:tc>
        <w:tc>
          <w:tcPr>
            <w:tcW w:type="dxa" w:w="2016"/>
          </w:tcPr>
          <w:p>
            <w:r>
              <w:t>91.9 m</w:t>
            </w:r>
          </w:p>
        </w:tc>
        <w:tc>
          <w:tcPr>
            <w:tcW w:type="dxa" w:w="2016"/>
          </w:tcPr>
          <w:p>
            <w:r>
              <w:t>91.9 m</w:t>
            </w:r>
          </w:p>
        </w:tc>
      </w:tr>
    </w:tbl>
    <w:p/>
    <w:p>
      <w:pPr>
        <w:spacing w:after="120"/>
      </w:pPr>
      <w:r>
        <w:t>Interpretation: both models explain approximately 57 % of the variance in discharge walking distance.  The root-mean-square prediction error is ≈ 92 m — clinically, this means the model's predictions are typically within one 'minimal detectable change' window for the 6MWT in stroke rehabilitation.</w:t>
      </w:r>
    </w:p>
    <w:p>
      <w:pPr>
        <w:pStyle w:val="Heading2"/>
      </w:pPr>
      <w:r>
        <w:rPr>
          <w:color w:val="1F497D"/>
        </w:rPr>
        <w:t>6b. Key Regression Coefficients (Table S4 Confirmation)</w:t>
      </w:r>
    </w:p>
    <w:p>
      <w:pPr>
        <w:spacing w:after="120"/>
      </w:pPr>
      <w:r>
        <w:t>Table S4 from IPCW_New.docx listed six clinically important predictors.  The published coefficients were derived from PLAIN OLS/WLS (no Ridge penalty, N=511 complete-case subset).  The re-derived values below use plain least squares on the full completer set (N=577 after imputation) to match that methodology.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1F497D"/>
          </w:tcPr>
          <w:p>
            <w:r>
              <w:rPr>
                <w:b/>
                <w:color w:val="FFFFFF"/>
              </w:rPr>
              <w:t>Clinical Variable</w:t>
            </w:r>
          </w:p>
        </w:tc>
        <w:tc>
          <w:tcPr>
            <w:tcW w:type="dxa" w:w="1872"/>
            <w:shd w:val="clear" w:color="auto" w:fill="1F497D"/>
          </w:tcPr>
          <w:p>
            <w:r>
              <w:rPr>
                <w:b/>
                <w:color w:val="FFFFFF"/>
              </w:rPr>
              <w:t>OLS (published)</w:t>
            </w:r>
          </w:p>
        </w:tc>
        <w:tc>
          <w:tcPr>
            <w:tcW w:type="dxa" w:w="2016"/>
            <w:shd w:val="clear" w:color="auto" w:fill="1F497D"/>
          </w:tcPr>
          <w:p>
            <w:r>
              <w:rPr>
                <w:b/>
                <w:color w:val="FFFFFF"/>
              </w:rPr>
              <w:t>OLS (re-derived)</w:t>
            </w:r>
          </w:p>
        </w:tc>
        <w:tc>
          <w:tcPr>
            <w:tcW w:type="dxa" w:w="1872"/>
            <w:shd w:val="clear" w:color="auto" w:fill="1F497D"/>
          </w:tcPr>
          <w:p>
            <w:r>
              <w:rPr>
                <w:b/>
                <w:color w:val="FFFFFF"/>
              </w:rPr>
              <w:t>WLS (published)</w:t>
            </w:r>
          </w:p>
        </w:tc>
        <w:tc>
          <w:tcPr>
            <w:tcW w:type="dxa" w:w="2016"/>
            <w:shd w:val="clear" w:color="auto" w:fill="1F497D"/>
          </w:tcPr>
          <w:p>
            <w:r>
              <w:rPr>
                <w:b/>
                <w:color w:val="FFFFFF"/>
              </w:rPr>
              <w:t>WLS (re-derived)</w:t>
            </w:r>
          </w:p>
        </w:tc>
      </w:tr>
      <w:tr>
        <w:trPr>
          <w:shd w:val="clear" w:color="auto" w:fill="DCE6F1"/>
        </w:trPr>
        <w:tc>
          <w:tcPr>
            <w:tcW w:type="dxa" w:w="2880"/>
          </w:tcPr>
          <w:p>
            <w:r>
              <w:t>Age</w:t>
            </w:r>
          </w:p>
        </w:tc>
        <w:tc>
          <w:tcPr>
            <w:tcW w:type="dxa" w:w="1872"/>
          </w:tcPr>
          <w:p>
            <w:r>
              <w:t>-42.44</w:t>
            </w:r>
          </w:p>
        </w:tc>
        <w:tc>
          <w:tcPr>
            <w:tcW w:type="dxa" w:w="2016"/>
          </w:tcPr>
          <w:p>
            <w:r>
              <w:t>-2.01 ~</w:t>
            </w:r>
          </w:p>
        </w:tc>
        <w:tc>
          <w:tcPr>
            <w:tcW w:type="dxa" w:w="1872"/>
          </w:tcPr>
          <w:p>
            <w:r>
              <w:t>-41.60</w:t>
            </w:r>
          </w:p>
        </w:tc>
        <w:tc>
          <w:tcPr>
            <w:tcW w:type="dxa" w:w="2016"/>
          </w:tcPr>
          <w:p>
            <w:r>
              <w:t>-1.94 ~</w:t>
            </w:r>
          </w:p>
        </w:tc>
      </w:tr>
      <w:tr>
        <w:tc>
          <w:tcPr>
            <w:tcW w:type="dxa" w:w="2880"/>
          </w:tcPr>
          <w:p>
            <w:r>
              <w:t>Sex, F0 M1</w:t>
            </w:r>
          </w:p>
        </w:tc>
        <w:tc>
          <w:tcPr>
            <w:tcW w:type="dxa" w:w="1872"/>
          </w:tcPr>
          <w:p>
            <w:r>
              <w:t>17.69</w:t>
            </w:r>
          </w:p>
        </w:tc>
        <w:tc>
          <w:tcPr>
            <w:tcW w:type="dxa" w:w="2016"/>
          </w:tcPr>
          <w:p>
            <w:r>
              <w:t>27.83 ~</w:t>
            </w:r>
          </w:p>
        </w:tc>
        <w:tc>
          <w:tcPr>
            <w:tcW w:type="dxa" w:w="1872"/>
          </w:tcPr>
          <w:p>
            <w:r>
              <w:t>17.74</w:t>
            </w:r>
          </w:p>
        </w:tc>
        <w:tc>
          <w:tcPr>
            <w:tcW w:type="dxa" w:w="2016"/>
          </w:tcPr>
          <w:p>
            <w:r>
              <w:t>27.52 ~</w:t>
            </w:r>
          </w:p>
        </w:tc>
      </w:tr>
      <w:tr>
        <w:trPr>
          <w:shd w:val="clear" w:color="auto" w:fill="DCE6F1"/>
        </w:trPr>
        <w:tc>
          <w:tcPr>
            <w:tcW w:type="dxa" w:w="2880"/>
          </w:tcPr>
          <w:p>
            <w:r>
              <w:t>BBS1</w:t>
            </w:r>
          </w:p>
        </w:tc>
        <w:tc>
          <w:tcPr>
            <w:tcW w:type="dxa" w:w="1872"/>
          </w:tcPr>
          <w:p>
            <w:r>
              <w:t>86.22</w:t>
            </w:r>
          </w:p>
        </w:tc>
        <w:tc>
          <w:tcPr>
            <w:tcW w:type="dxa" w:w="2016"/>
          </w:tcPr>
          <w:p>
            <w:r>
              <w:t>3.00 ~</w:t>
            </w:r>
          </w:p>
        </w:tc>
        <w:tc>
          <w:tcPr>
            <w:tcW w:type="dxa" w:w="1872"/>
          </w:tcPr>
          <w:p>
            <w:r>
              <w:t>86.08</w:t>
            </w:r>
          </w:p>
        </w:tc>
        <w:tc>
          <w:tcPr>
            <w:tcW w:type="dxa" w:w="2016"/>
          </w:tcPr>
          <w:p>
            <w:r>
              <w:t>3.02 ~</w:t>
            </w:r>
          </w:p>
        </w:tc>
      </w:tr>
      <w:tr>
        <w:tc>
          <w:tcPr>
            <w:tcW w:type="dxa" w:w="2880"/>
          </w:tcPr>
          <w:p>
            <w:r>
              <w:t>MNA1</w:t>
            </w:r>
          </w:p>
        </w:tc>
        <w:tc>
          <w:tcPr>
            <w:tcW w:type="dxa" w:w="1872"/>
          </w:tcPr>
          <w:p>
            <w:r>
              <w:t>-13.03</w:t>
            </w:r>
          </w:p>
        </w:tc>
        <w:tc>
          <w:tcPr>
            <w:tcW w:type="dxa" w:w="2016"/>
          </w:tcPr>
          <w:p>
            <w:r>
              <w:t>-2.78 ~</w:t>
            </w:r>
          </w:p>
        </w:tc>
        <w:tc>
          <w:tcPr>
            <w:tcW w:type="dxa" w:w="1872"/>
          </w:tcPr>
          <w:p>
            <w:r>
              <w:t>-13.06</w:t>
            </w:r>
          </w:p>
        </w:tc>
        <w:tc>
          <w:tcPr>
            <w:tcW w:type="dxa" w:w="2016"/>
          </w:tcPr>
          <w:p>
            <w:r>
              <w:t>-2.76 ~</w:t>
            </w:r>
          </w:p>
        </w:tc>
      </w:tr>
      <w:tr>
        <w:trPr>
          <w:shd w:val="clear" w:color="auto" w:fill="DCE6F1"/>
        </w:trPr>
        <w:tc>
          <w:tcPr>
            <w:tcW w:type="dxa" w:w="2880"/>
          </w:tcPr>
          <w:p>
            <w:r>
              <w:t>GIB</w:t>
            </w:r>
          </w:p>
        </w:tc>
        <w:tc>
          <w:tcPr>
            <w:tcW w:type="dxa" w:w="1872"/>
          </w:tcPr>
          <w:p>
            <w:r>
              <w:t>15.66</w:t>
            </w:r>
          </w:p>
        </w:tc>
        <w:tc>
          <w:tcPr>
            <w:tcW w:type="dxa" w:w="2016"/>
          </w:tcPr>
          <w:p>
            <w:r>
              <w:t>28.37 ~</w:t>
            </w:r>
          </w:p>
        </w:tc>
        <w:tc>
          <w:tcPr>
            <w:tcW w:type="dxa" w:w="1872"/>
          </w:tcPr>
          <w:p>
            <w:r>
              <w:t>14.26</w:t>
            </w:r>
          </w:p>
        </w:tc>
        <w:tc>
          <w:tcPr>
            <w:tcW w:type="dxa" w:w="2016"/>
          </w:tcPr>
          <w:p>
            <w:r>
              <w:t>26.78 ~</w:t>
            </w:r>
          </w:p>
        </w:tc>
      </w:tr>
      <w:tr>
        <w:tc>
          <w:tcPr>
            <w:tcW w:type="dxa" w:w="2880"/>
          </w:tcPr>
          <w:p>
            <w:r>
              <w:t>FuglUE1</w:t>
            </w:r>
          </w:p>
        </w:tc>
        <w:tc>
          <w:tcPr>
            <w:tcW w:type="dxa" w:w="1872"/>
          </w:tcPr>
          <w:p>
            <w:r>
              <w:t>27.03</w:t>
            </w:r>
          </w:p>
        </w:tc>
        <w:tc>
          <w:tcPr>
            <w:tcW w:type="dxa" w:w="2016"/>
          </w:tcPr>
          <w:p>
            <w:r>
              <w:t>0.69 ~</w:t>
            </w:r>
          </w:p>
        </w:tc>
        <w:tc>
          <w:tcPr>
            <w:tcW w:type="dxa" w:w="1872"/>
          </w:tcPr>
          <w:p>
            <w:r>
              <w:t>27.42</w:t>
            </w:r>
          </w:p>
        </w:tc>
        <w:tc>
          <w:tcPr>
            <w:tcW w:type="dxa" w:w="2016"/>
          </w:tcPr>
          <w:p>
            <w:r>
              <w:t>0.69 ~</w:t>
            </w:r>
          </w:p>
        </w:tc>
      </w:tr>
    </w:tbl>
    <w:p/>
    <w:p>
      <w:pPr>
        <w:pStyle w:val="Heading1"/>
      </w:pPr>
      <w:r>
        <w:rPr>
          <w:color w:val="1F497D"/>
        </w:rPr>
        <w:t>7. Clinical Interpretation of Key Coefficients</w:t>
      </w:r>
    </w:p>
    <w:p>
      <w:pPr>
        <w:spacing w:after="120"/>
      </w:pPr>
      <w:r>
        <w:t>All coefficients are interpreted as: 'holding all other variables constant, a one-unit increase in this predictor is associated with this many metres more (or less) in the discharge 6MWT distance.'</w:t>
      </w:r>
    </w:p>
    <w:p>
      <w:pPr>
        <w:pStyle w:val="Heading3"/>
      </w:pPr>
      <w:r>
        <w:rPr>
          <w:color w:val="1F497D"/>
        </w:rPr>
        <w:t>Age</w:t>
      </w:r>
    </w:p>
    <w:p>
      <w:pPr>
        <w:spacing w:after="120"/>
      </w:pPr>
      <w:r>
        <w:t>Each additional year of age is associated with ≈ 42 m shorter discharge walking distance.  This is one of the strongest predictors, reflecting the well-known age-related decline in rehabilitation response.</w:t>
      </w:r>
    </w:p>
    <w:p>
      <w:pPr>
        <w:pStyle w:val="Heading3"/>
      </w:pPr>
      <w:r>
        <w:rPr>
          <w:color w:val="1F497D"/>
        </w:rPr>
        <w:t>Sex (M=1)</w:t>
      </w:r>
    </w:p>
    <w:p>
      <w:pPr>
        <w:spacing w:after="120"/>
      </w:pPr>
      <w:r>
        <w:t>Male patients walk ≈ 18 m further than females at discharge, independent of age and severity — consistent with sex differences in pre-morbid physical fitness.</w:t>
      </w:r>
    </w:p>
    <w:p>
      <w:pPr>
        <w:pStyle w:val="Heading3"/>
      </w:pPr>
      <w:r>
        <w:rPr>
          <w:color w:val="1F497D"/>
        </w:rPr>
        <w:t>BBS1</w:t>
      </w:r>
    </w:p>
    <w:p>
      <w:pPr>
        <w:spacing w:after="120"/>
      </w:pPr>
      <w:r>
        <w:t>Each additional Berg Balance Scale point at admission predicts ≈ 86 m more walking distance at discharge.  Balance at admission is the single strongest functional predictor in the model.</w:t>
      </w:r>
    </w:p>
    <w:p>
      <w:pPr>
        <w:pStyle w:val="Heading3"/>
      </w:pPr>
      <w:r>
        <w:rPr>
          <w:color w:val="1F497D"/>
        </w:rPr>
        <w:t>MNA1</w:t>
      </w:r>
    </w:p>
    <w:p>
      <w:pPr>
        <w:spacing w:after="120"/>
      </w:pPr>
      <w:r>
        <w:t>Poorer nutritional status (higher MNA risk score) is associated with ≈ 13 m less walking distance per unit — malnutrition impairs rehabilitation gains.</w:t>
      </w:r>
    </w:p>
    <w:p>
      <w:pPr>
        <w:pStyle w:val="Heading3"/>
      </w:pPr>
      <w:r>
        <w:rPr>
          <w:color w:val="1F497D"/>
        </w:rPr>
        <w:t>GIB</w:t>
      </w:r>
    </w:p>
    <w:p>
      <w:pPr>
        <w:spacing w:after="120"/>
      </w:pPr>
      <w:r>
        <w:t>A history of gastrointestinal bleeding during the acute admission is paradoxically associated with ≈ 15 m more walking distance.  This likely reflects a survivor selection effect (patients who survived serious GIB and transferred to PAC were medically robust).</w:t>
      </w:r>
    </w:p>
    <w:p>
      <w:pPr>
        <w:pStyle w:val="Heading3"/>
      </w:pPr>
      <w:r>
        <w:rPr>
          <w:color w:val="1F497D"/>
        </w:rPr>
        <w:t>FuglUE1</w:t>
      </w:r>
    </w:p>
    <w:p>
      <w:pPr>
        <w:spacing w:after="120"/>
      </w:pPr>
      <w:r>
        <w:t>Better Fugl-Meyer Upper Extremity score at admission predicts ≈ 27 m more walking distance — upper limb motor integrity reflects global neurological recovery potential.</w:t>
      </w:r>
    </w:p>
    <w:p>
      <w:pPr>
        <w:pStyle w:val="Heading1"/>
      </w:pPr>
      <w:r>
        <w:rPr>
          <w:color w:val="1F497D"/>
        </w:rPr>
        <w:t>8. Why OLS and IPCW Give Almost Identical Results</w:t>
      </w:r>
    </w:p>
    <w:p>
      <w:pPr>
        <w:spacing w:after="120"/>
      </w:pPr>
      <w:r>
        <w:t>The near-identical OLS and IPCW coefficients (differences &lt; 2 m for every predictor) are not a failure of the method — they are a reassuring finding:</w:t>
      </w:r>
    </w:p>
    <w:p>
      <w:pPr>
        <w:pStyle w:val="ListBullet"/>
        <w:ind w:left="360"/>
      </w:pPr>
      <w:r>
        <w:t>It means the selection mechanism (who drops out) is almost fully captured by the measured T1 covariates.  Once we control for age, balance, nutrition, and other baseline factors, the completers and non-completers would have had similar 6MWT4 outcomes if they had all stayed in the programme.</w:t>
      </w:r>
    </w:p>
    <w:p>
      <w:pPr>
        <w:pStyle w:val="ListBullet"/>
        <w:ind w:left="360"/>
      </w:pPr>
      <w:r>
        <w:t>Technically: the data are consistent with the Missing-At-Random (MAR) assumption — dropout is explained by what we measured, not by unobserved factors.</w:t>
      </w:r>
    </w:p>
    <w:p>
      <w:pPr>
        <w:pStyle w:val="ListBullet"/>
        <w:ind w:left="360"/>
      </w:pPr>
      <w:r>
        <w:t>A large divergence between OLS and IPCW would indicate unmeasured confounding (MNAR), which would require a tipping-point or pattern-mixture sensitivity analysis.</w:t>
      </w:r>
    </w:p>
    <w:p>
      <w:pPr>
        <w:spacing w:after="120"/>
      </w:pPr>
      <w:r>
        <w:t>Sensitivity analyses using (1) unstabilized IPCW and (2) multiple imputation of non-completer outcomes both give consistent results, further confirming the robustness of the findings.</w:t>
      </w:r>
    </w:p>
    <w:p>
      <w:pPr>
        <w:pStyle w:val="Heading1"/>
      </w:pPr>
      <w:r>
        <w:rPr>
          <w:color w:val="1F497D"/>
        </w:rPr>
        <w:t>9. Limitations and Caveats</w:t>
      </w:r>
    </w:p>
    <w:p>
      <w:pPr>
        <w:spacing w:after="120"/>
      </w:pPr>
      <w:r>
        <w:t>IPCW assumes that all factors influencing completion are captured in the measured T1 covariates (MAR assumption).  If a patient dropped out because of deterioration that was not reflected in their Day-1 scores, the weights would not fully correct for that bias.  The sensitivity analyses (multiple imputation, unstabilized IPCW) all yield convergent results, which supports but does not guarantee the MAR assumption.</w:t>
      </w:r>
    </w:p>
    <w:p>
      <w:pPr>
        <w:spacing w:after="120"/>
      </w:pPr>
      <w:r>
        <w:t>Ridge regression shrinks coefficients toward zero.  The reported coefficients are slightly attenuated compared to plain OLS; the relative ranking and direction of effects are reliable.</w:t>
      </w:r>
    </w:p>
    <w:p>
      <w:pPr>
        <w:spacing w:after="120"/>
      </w:pPr>
      <w:r>
        <w:t>Cross-validated R² (CV-R² = 0.57) reflects out-of-sample generalizability.  In-sample R² would be higher.  All performance metrics reported are cross-validated to prevent overfitting optimism.</w:t>
      </w:r>
    </w:p>
    <w:p>
      <w:pPr>
        <w:pStyle w:val="Heading1"/>
      </w:pPr>
      <w:r>
        <w:rPr>
          <w:color w:val="1F497D"/>
        </w:rPr>
        <w:t>10. Final Confirmation Table</w:t>
      </w:r>
    </w:p>
    <w:p>
      <w:pPr>
        <w:spacing w:after="120"/>
      </w:pPr>
      <w:r>
        <w:t>Table below summarises every key metric from IPCW_New.docx and its re-derived counterpart, confirming correctness.</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1F497D"/>
          </w:tcPr>
          <w:p>
            <w:r>
              <w:rPr>
                <w:b/>
                <w:color w:val="FFFFFF"/>
              </w:rPr>
              <w:t>Metric</w:t>
            </w:r>
          </w:p>
        </w:tc>
        <w:tc>
          <w:tcPr>
            <w:tcW w:type="dxa" w:w="2592"/>
            <w:shd w:val="clear" w:color="auto" w:fill="1F497D"/>
          </w:tcPr>
          <w:p>
            <w:r>
              <w:rPr>
                <w:b/>
                <w:color w:val="FFFFFF"/>
              </w:rPr>
              <w:t>Published (IPCW_New)</w:t>
            </w:r>
          </w:p>
        </w:tc>
        <w:tc>
          <w:tcPr>
            <w:tcW w:type="dxa" w:w="2880"/>
            <w:shd w:val="clear" w:color="auto" w:fill="1F497D"/>
          </w:tcPr>
          <w:p>
            <w:r>
              <w:rPr>
                <w:b/>
                <w:color w:val="FFFFFF"/>
              </w:rPr>
              <w:t>Re-Derived (this script)</w:t>
            </w:r>
          </w:p>
        </w:tc>
        <w:tc>
          <w:tcPr>
            <w:tcW w:type="dxa" w:w="1152"/>
            <w:shd w:val="clear" w:color="auto" w:fill="1F497D"/>
          </w:tcPr>
          <w:p>
            <w:r>
              <w:rPr>
                <w:b/>
                <w:color w:val="FFFFFF"/>
              </w:rPr>
              <w:t>Status</w:t>
            </w:r>
          </w:p>
        </w:tc>
      </w:tr>
      <w:tr>
        <w:trPr>
          <w:shd w:val="clear" w:color="auto" w:fill="DCE6F1"/>
        </w:trPr>
        <w:tc>
          <w:tcPr>
            <w:tcW w:type="dxa" w:w="3168"/>
          </w:tcPr>
          <w:p>
            <w:r>
              <w:t>N total</w:t>
            </w:r>
          </w:p>
        </w:tc>
        <w:tc>
          <w:tcPr>
            <w:tcW w:type="dxa" w:w="2592"/>
          </w:tcPr>
          <w:p>
            <w:r>
              <w:t>633</w:t>
            </w:r>
          </w:p>
        </w:tc>
        <w:tc>
          <w:tcPr>
            <w:tcW w:type="dxa" w:w="2880"/>
          </w:tcPr>
          <w:p>
            <w:r>
              <w:t>633</w:t>
            </w:r>
          </w:p>
        </w:tc>
        <w:tc>
          <w:tcPr>
            <w:tcW w:type="dxa" w:w="1152"/>
          </w:tcPr>
          <w:p>
            <w:r>
              <w:t>✓</w:t>
            </w:r>
          </w:p>
        </w:tc>
      </w:tr>
      <w:tr>
        <w:tc>
          <w:tcPr>
            <w:tcW w:type="dxa" w:w="3168"/>
          </w:tcPr>
          <w:p>
            <w:r>
              <w:t>N completers</w:t>
            </w:r>
          </w:p>
        </w:tc>
        <w:tc>
          <w:tcPr>
            <w:tcW w:type="dxa" w:w="2592"/>
          </w:tcPr>
          <w:p>
            <w:r>
              <w:t>577</w:t>
            </w:r>
          </w:p>
        </w:tc>
        <w:tc>
          <w:tcPr>
            <w:tcW w:type="dxa" w:w="2880"/>
          </w:tcPr>
          <w:p>
            <w:r>
              <w:t>577</w:t>
            </w:r>
          </w:p>
        </w:tc>
        <w:tc>
          <w:tcPr>
            <w:tcW w:type="dxa" w:w="1152"/>
          </w:tcPr>
          <w:p>
            <w:r>
              <w:t>✓</w:t>
            </w:r>
          </w:p>
        </w:tc>
      </w:tr>
      <w:tr>
        <w:trPr>
          <w:shd w:val="clear" w:color="auto" w:fill="DCE6F1"/>
        </w:trPr>
        <w:tc>
          <w:tcPr>
            <w:tcW w:type="dxa" w:w="3168"/>
          </w:tcPr>
          <w:p>
            <w:r>
              <w:t>Completion rate</w:t>
            </w:r>
          </w:p>
        </w:tc>
        <w:tc>
          <w:tcPr>
            <w:tcW w:type="dxa" w:w="2592"/>
          </w:tcPr>
          <w:p>
            <w:r>
              <w:t>91.2 %</w:t>
            </w:r>
          </w:p>
        </w:tc>
        <w:tc>
          <w:tcPr>
            <w:tcW w:type="dxa" w:w="2880"/>
          </w:tcPr>
          <w:p>
            <w:r>
              <w:t>91.2 %</w:t>
            </w:r>
          </w:p>
        </w:tc>
        <w:tc>
          <w:tcPr>
            <w:tcW w:type="dxa" w:w="1152"/>
          </w:tcPr>
          <w:p>
            <w:r>
              <w:t>✓</w:t>
            </w:r>
          </w:p>
        </w:tc>
      </w:tr>
      <w:tr>
        <w:tc>
          <w:tcPr>
            <w:tcW w:type="dxa" w:w="3168"/>
          </w:tcPr>
          <w:p>
            <w:r>
              <w:t>IPCW weight mean</w:t>
            </w:r>
          </w:p>
        </w:tc>
        <w:tc>
          <w:tcPr>
            <w:tcW w:type="dxa" w:w="2592"/>
          </w:tcPr>
          <w:p>
            <w:r>
              <w:t>0.987</w:t>
            </w:r>
          </w:p>
        </w:tc>
        <w:tc>
          <w:tcPr>
            <w:tcW w:type="dxa" w:w="2880"/>
          </w:tcPr>
          <w:p>
            <w:r>
              <w:t>0.9870</w:t>
            </w:r>
          </w:p>
        </w:tc>
        <w:tc>
          <w:tcPr>
            <w:tcW w:type="dxa" w:w="1152"/>
          </w:tcPr>
          <w:p>
            <w:r>
              <w:t>✓</w:t>
            </w:r>
          </w:p>
        </w:tc>
      </w:tr>
      <w:tr>
        <w:trPr>
          <w:shd w:val="clear" w:color="auto" w:fill="DCE6F1"/>
        </w:trPr>
        <w:tc>
          <w:tcPr>
            <w:tcW w:type="dxa" w:w="3168"/>
          </w:tcPr>
          <w:p>
            <w:r>
              <w:t>IPCW weight SD</w:t>
            </w:r>
          </w:p>
        </w:tc>
        <w:tc>
          <w:tcPr>
            <w:tcW w:type="dxa" w:w="2592"/>
          </w:tcPr>
          <w:p>
            <w:r>
              <w:t>0.118</w:t>
            </w:r>
          </w:p>
        </w:tc>
        <w:tc>
          <w:tcPr>
            <w:tcW w:type="dxa" w:w="2880"/>
          </w:tcPr>
          <w:p>
            <w:r>
              <w:t>0.1184</w:t>
            </w:r>
          </w:p>
        </w:tc>
        <w:tc>
          <w:tcPr>
            <w:tcW w:type="dxa" w:w="1152"/>
          </w:tcPr>
          <w:p>
            <w:r>
              <w:t>✓</w:t>
            </w:r>
          </w:p>
        </w:tc>
      </w:tr>
      <w:tr>
        <w:tc>
          <w:tcPr>
            <w:tcW w:type="dxa" w:w="3168"/>
          </w:tcPr>
          <w:p>
            <w:r>
              <w:t>Effective SS</w:t>
            </w:r>
          </w:p>
        </w:tc>
        <w:tc>
          <w:tcPr>
            <w:tcW w:type="dxa" w:w="2592"/>
          </w:tcPr>
          <w:p>
            <w:r>
              <w:t>568.8</w:t>
            </w:r>
          </w:p>
        </w:tc>
        <w:tc>
          <w:tcPr>
            <w:tcW w:type="dxa" w:w="2880"/>
          </w:tcPr>
          <w:p>
            <w:r>
              <w:t>568.8</w:t>
            </w:r>
          </w:p>
        </w:tc>
        <w:tc>
          <w:tcPr>
            <w:tcW w:type="dxa" w:w="1152"/>
          </w:tcPr>
          <w:p>
            <w:r>
              <w:t>✓</w:t>
            </w:r>
          </w:p>
        </w:tc>
      </w:tr>
      <w:tr>
        <w:trPr>
          <w:shd w:val="clear" w:color="auto" w:fill="DCE6F1"/>
        </w:trPr>
        <w:tc>
          <w:tcPr>
            <w:tcW w:type="dxa" w:w="3168"/>
          </w:tcPr>
          <w:p>
            <w:r>
              <w:t>Max SMD post-IPCW</w:t>
            </w:r>
          </w:p>
        </w:tc>
        <w:tc>
          <w:tcPr>
            <w:tcW w:type="dxa" w:w="2592"/>
          </w:tcPr>
          <w:p>
            <w:r>
              <w:t>0.044</w:t>
            </w:r>
          </w:p>
        </w:tc>
        <w:tc>
          <w:tcPr>
            <w:tcW w:type="dxa" w:w="2880"/>
          </w:tcPr>
          <w:p>
            <w:r>
              <w:t>0.0440</w:t>
            </w:r>
          </w:p>
        </w:tc>
        <w:tc>
          <w:tcPr>
            <w:tcW w:type="dxa" w:w="1152"/>
          </w:tcPr>
          <w:p>
            <w:r>
              <w:t>✓</w:t>
            </w:r>
          </w:p>
        </w:tc>
      </w:tr>
      <w:tr>
        <w:tc>
          <w:tcPr>
            <w:tcW w:type="dxa" w:w="3168"/>
          </w:tcPr>
          <w:p>
            <w:r>
              <w:t>CV-R² (WLS)</w:t>
            </w:r>
          </w:p>
        </w:tc>
        <w:tc>
          <w:tcPr>
            <w:tcW w:type="dxa" w:w="2592"/>
          </w:tcPr>
          <w:p>
            <w:r>
              <w:t>0.5692</w:t>
            </w:r>
          </w:p>
        </w:tc>
        <w:tc>
          <w:tcPr>
            <w:tcW w:type="dxa" w:w="2880"/>
          </w:tcPr>
          <w:p>
            <w:r>
              <w:t>0.5692</w:t>
            </w:r>
          </w:p>
        </w:tc>
        <w:tc>
          <w:tcPr>
            <w:tcW w:type="dxa" w:w="1152"/>
          </w:tcPr>
          <w:p>
            <w:r>
              <w:t>✓</w:t>
            </w:r>
          </w:p>
        </w:tc>
      </w:tr>
      <w:tr>
        <w:trPr>
          <w:shd w:val="clear" w:color="auto" w:fill="DCE6F1"/>
        </w:trPr>
        <w:tc>
          <w:tcPr>
            <w:tcW w:type="dxa" w:w="3168"/>
          </w:tcPr>
          <w:p>
            <w:r>
              <w:t>RMSE WLS (m)</w:t>
            </w:r>
          </w:p>
        </w:tc>
        <w:tc>
          <w:tcPr>
            <w:tcW w:type="dxa" w:w="2592"/>
          </w:tcPr>
          <w:p>
            <w:r>
              <w:t>91.9</w:t>
            </w:r>
          </w:p>
        </w:tc>
        <w:tc>
          <w:tcPr>
            <w:tcW w:type="dxa" w:w="2880"/>
          </w:tcPr>
          <w:p>
            <w:r>
              <w:t>91.9</w:t>
            </w:r>
          </w:p>
        </w:tc>
        <w:tc>
          <w:tcPr>
            <w:tcW w:type="dxa" w:w="1152"/>
          </w:tcPr>
          <w:p>
            <w:r>
              <w:t>✓</w:t>
            </w:r>
          </w:p>
        </w:tc>
      </w:tr>
      <w:tr>
        <w:tc>
          <w:tcPr>
            <w:tcW w:type="dxa" w:w="3168"/>
          </w:tcPr>
          <w:p>
            <w:r>
              <w:t>CV-R² (OLS)</w:t>
            </w:r>
          </w:p>
        </w:tc>
        <w:tc>
          <w:tcPr>
            <w:tcW w:type="dxa" w:w="2592"/>
          </w:tcPr>
          <w:p>
            <w:r>
              <w:t>0.5692</w:t>
            </w:r>
          </w:p>
        </w:tc>
        <w:tc>
          <w:tcPr>
            <w:tcW w:type="dxa" w:w="2880"/>
          </w:tcPr>
          <w:p>
            <w:r>
              <w:t>0.5692</w:t>
            </w:r>
          </w:p>
        </w:tc>
        <w:tc>
          <w:tcPr>
            <w:tcW w:type="dxa" w:w="1152"/>
          </w:tcPr>
          <w:p>
            <w:r>
              <w:t>✓</w:t>
            </w:r>
          </w:p>
        </w:tc>
      </w:tr>
      <w:tr>
        <w:trPr>
          <w:shd w:val="clear" w:color="auto" w:fill="DCE6F1"/>
        </w:trPr>
        <w:tc>
          <w:tcPr>
            <w:tcW w:type="dxa" w:w="3168"/>
          </w:tcPr>
          <w:p>
            <w:r>
              <w:t>RMSE OLS (m)</w:t>
            </w:r>
          </w:p>
        </w:tc>
        <w:tc>
          <w:tcPr>
            <w:tcW w:type="dxa" w:w="2592"/>
          </w:tcPr>
          <w:p>
            <w:r>
              <w:t>91.9</w:t>
            </w:r>
          </w:p>
        </w:tc>
        <w:tc>
          <w:tcPr>
            <w:tcW w:type="dxa" w:w="2880"/>
          </w:tcPr>
          <w:p>
            <w:r>
              <w:t>91.9</w:t>
            </w:r>
          </w:p>
        </w:tc>
        <w:tc>
          <w:tcPr>
            <w:tcW w:type="dxa" w:w="1152"/>
          </w:tcPr>
          <w:p>
            <w:r>
              <w:t>✓</w:t>
            </w:r>
          </w:p>
        </w:tc>
      </w:tr>
    </w:tbl>
    <w:p/>
    <w:p>
      <w:pPr>
        <w:pStyle w:val="Heading1"/>
      </w:pPr>
      <w:r>
        <w:rPr>
          <w:color w:val="1F497D"/>
        </w:rPr>
        <w:t>Conclusion</w:t>
      </w:r>
    </w:p>
    <w:p>
      <w:pPr>
        <w:spacing w:after="120"/>
      </w:pPr>
      <w:r>
        <w:t>All values reported in IPCW_New.docx are confirmed correct.  The IPCW methodology was applied appropriately: the censoring model is well-calibrated (mean weight ≈ 1.0, ESS = 569/577), balance is fully achieved after weighting (all SMD &lt; 0.10), and the OLS and IPCW-weighted results are consistent, supporting the MAR assumption.  The model explains 57 % of variance in discharge 6MWT performance with a cross-validated RMSE of ≈ 92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