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Recovery profiles showed a consistent severity gradient across LOS strata: short-stay completers entered with the strongest ambulatory capacity and concentrated gains early, whereas long-stay patients started from lower functional levels and demonstrated more distributed, multi-phase improvement, including late gains beyond week 6. Non-completers were enriched for the ‘Never’ profile in each LOS stratum, supporting informative missingness and justifying IPCW plus scenario-bounded analyses. Across prediction models, RESTORE provided the strongest overall continuous performance while maintaining competitive binary discrimination; however, overlapping confidence intervals across retained models indicate that rank differences should be interpreted as incremental rather than definitive. The compact models (AIMS/BEDSIDE) preserved binary balanced accuracy despite lower continuous-fit metrics, suggesting that classifying walking ability is less information-intensive than estimating exact distance. Predictor stability patterns (balance, age, baseline/imputed gait speed, and key motor measures) were directionally coherent across models, but subgroup sparsity in some non-completer cells and scenario dependence in certain models indicate residual uncertainty at the extremes of recovery and support cautious clinical extrapolation.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