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Supplementary Tables</w:t>
      </w:r>
    </w:p>
    <w:p>
      <w:pPr>
        <w:jc w:val="center"/>
      </w:pPr>
      <w:r>
        <w:rPr>
          <w:b/>
          <w:sz w:val="20"/>
        </w:rPr>
        <w:t>Supplementary Table S1. Parsimony, calibration, and coefficient-stability comparison across retained models</w:t>
      </w:r>
    </w:p>
    <w:p>
      <w:pPr>
        <w:jc w:val="center"/>
      </w:pPr>
      <w:r>
        <w:rPr>
          <w:sz w:val="16"/>
        </w:rPr>
        <w:t>Original point-estimate rank is retained only as reference. The observation-per-variable summary highlights why the largest models should be interpreted cautiously.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Clinical role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Original point-estimate rank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Outcome observations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Observations/variable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Δ vs RESTORE R²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Δ vs RESTORE MAE (m)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intercept (m)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slope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(≥70%)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at 70-89%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at 90-99%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at 100%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unique to model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Primary recommendation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127.8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-0.0551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+5.7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1.000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Secondary recommendation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42.6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-0.0535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+5.3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1.025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Reference trajectory model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456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21.7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+0.0000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+0.0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1.019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Complexity-sensitive comparison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11.6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-0.0307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+2.7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1.052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Complexity-sensitive comparison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8.7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-0.0359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+3.1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1.087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S2. Full Part 2 IPCW binary classification performance</w:t>
      </w:r>
    </w:p>
    <w:p>
      <w:pPr>
        <w:jc w:val="center"/>
      </w:pPr>
      <w:r>
        <w:rPr>
          <w:sz w:val="16"/>
        </w:rPr>
        <w:t>Binary performance is preserved exactly, but ordered clinically rather than by point estimate.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BalAcc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Se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Sp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BalAcc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Se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Sp [95% CI]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76.8% [73.5, 85.8]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[77.8, 86.8]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75.6% [72.0, 86.0]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88.3% [75.6, 95.2]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80.9% [74.4, 85.8]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83.0% [79.6, 87.1]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80.0% [71.6,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86.0% [78.3, 94.4]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[69.2, 85.0]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81.8% [77.4, 86.8]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[67.0, 85.1]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81.7% [73.8, 94.6]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77.3% [72.8,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81.3% [78.1, 85.5]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75.6% [69.8, 87.6]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87.1% [74.7, 94.7]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82.5% [71.6, 88.3]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80.6% [76.5,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82.9% [70.0, 89.6]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[70.0, 93.3]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86.6% [75.0, 89.6]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82.8% [78.9, 87.1]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88.1% [72.4, 91.3]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77.4% [70.4, 90.7]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68.7% [63.0, 82.6]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77.5% [73.8, 82.9]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66.7% [60.0, 83.4]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88.3% [71.4, 96.7]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75.8% [64.3, 81.2]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[74.8, 82.7]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74.8% [59.3, 81.8]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81.7% [73.3, 94.4]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72.4% [63.7, 80.1]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78.8% [74.6, 83.8]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70.9% [60.8, 80.0]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86.7% [75.5, 96.4]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72.7% [61.0, 77.3]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74.2% [70.5, 78.8]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72.0% [56.1, 76.9]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76.3% [68.5, 92.1]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S3. Internal OOF calibration summary</w:t>
      </w:r>
    </w:p>
    <w:p>
      <w:pPr>
        <w:jc w:val="center"/>
      </w:pPr>
      <w:r>
        <w:rPr>
          <w:sz w:val="16"/>
        </w:rPr>
        <w:t>Calibration intercept is the mean observed-minus-predicted difference (ideal 0 m), and calibration slope is the centered recalibration slope (ideal 1.0) from the original Part 1 out-of-fold 6MWT4 predictions.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intercept (m)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slope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mean observed 6MWT4 (m)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mean predicted 6MWT4 (m)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OOF R²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OOF MAE (m)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BEDSIDE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1.000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321.0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321.0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95.0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AIMS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1.025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321.0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321.0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0.4922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94.6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RESTORE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1.019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318.3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318.3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0.5457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89.3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COMPASS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1.052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321.0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321.0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0.5150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92.0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CASCADE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1.087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321.0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321.0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0.5098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92.4</w:t>
            </w:r>
          </w:p>
        </w:tc>
      </w:tr>
    </w:tbl>
    <w:p/>
    <w:p>
      <w:pPr>
        <w:jc w:val="center"/>
      </w:pPr>
      <w:r>
        <w:rPr>
          <w:sz w:val="16"/>
        </w:rPr>
        <w:t>Supplementary Figure S1. Decile-based internal weighted OOF calibration plot for each retained model.</w:t>
      </w:r>
    </w:p>
    <w:p>
      <w:r>
        <w:drawing>
          <wp:inline xmlns:a="http://schemas.openxmlformats.org/drawingml/2006/main" xmlns:pic="http://schemas.openxmlformats.org/drawingml/2006/picture">
            <wp:extent cx="8686800" cy="492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12_Calibration_184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492950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20"/>
        </w:rPr>
        <w:t>Supplementary Table S4. Weighted OOF MAE relative to published 6MWT MCID benchmarks already used in the repository sensitivity analyses</w:t>
      </w:r>
    </w:p>
    <w:p>
      <w:pPr>
        <w:jc w:val="center"/>
      </w:pPr>
      <w:r>
        <w:rPr>
          <w:sz w:val="16"/>
        </w:rPr>
        <w:t>All retained-model MAEs exceed both the 20.0 m and 34.4 m benchmarks, so distance-level prediction error remains clinically material despite internal discrimination.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600"/>
        <w:gridCol w:w="3600"/>
        <w:gridCol w:w="3600"/>
        <w:gridCol w:w="3600"/>
      </w:tblGrid>
      <w:tr>
        <w:tc>
          <w:tcPr>
            <w:tcW w:type="dxa" w:w="36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36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OOF MAE (m)</w:t>
            </w:r>
          </w:p>
        </w:tc>
        <w:tc>
          <w:tcPr>
            <w:tcW w:type="dxa" w:w="36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MAE / 20.0 m MCID</w:t>
            </w:r>
          </w:p>
        </w:tc>
        <w:tc>
          <w:tcPr>
            <w:tcW w:type="dxa" w:w="36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MAE / 34.4 m MCID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BEDSIDE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95.0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4.75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2.76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AIMS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94.6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4.73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2.75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RESTORE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89.3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4.46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2.60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COMPASS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92.0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4.60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2.67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CASCADE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92.4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4.62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2.69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S5a. Correlation structure of dominant stable predictors</w:t>
      </w:r>
    </w:p>
    <w:p>
      <w:pPr>
        <w:jc w:val="center"/>
      </w:pPr>
      <w:r>
        <w:rPr>
          <w:sz w:val="16"/>
        </w:rPr>
        <w:t>Pairwise Pearson correlations are shown for BBS1, Gait_Speed_1, Age, and FuglUE1.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880"/>
        <w:gridCol w:w="2880"/>
        <w:gridCol w:w="2880"/>
        <w:gridCol w:w="2880"/>
        <w:gridCol w:w="2880"/>
      </w:tblGrid>
      <w:tr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BBS1</w:t>
            </w:r>
          </w:p>
        </w:tc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Gait_Speed_1</w:t>
            </w:r>
          </w:p>
        </w:tc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Age</w:t>
            </w:r>
          </w:p>
        </w:tc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FuglUE1</w:t>
            </w:r>
          </w:p>
        </w:tc>
      </w:tr>
      <w:tr>
        <w:tc>
          <w:tcPr>
            <w:tcW w:type="dxa" w:w="288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1.0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0.793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-0.304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0.47</w:t>
            </w:r>
          </w:p>
        </w:tc>
      </w:tr>
      <w:tr>
        <w:tc>
          <w:tcPr>
            <w:tcW w:type="dxa" w:w="288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0.793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1.0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-0.264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0.412</w:t>
            </w:r>
          </w:p>
        </w:tc>
      </w:tr>
      <w:tr>
        <w:tc>
          <w:tcPr>
            <w:tcW w:type="dxa" w:w="288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-0.304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-0.264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1.0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0.001</w:t>
            </w:r>
          </w:p>
        </w:tc>
      </w:tr>
      <w:tr>
        <w:tc>
          <w:tcPr>
            <w:tcW w:type="dxa" w:w="288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0.47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0.412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0.001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1.0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S5b. Variance inflation factors for dominant stable predictors</w:t>
      </w:r>
    </w:p>
    <w:p>
      <w:pPr>
        <w:jc w:val="center"/>
      </w:pPr>
      <w:r>
        <w:rPr>
          <w:sz w:val="16"/>
        </w:rPr>
        <w:t>VIFs were calculated on complete cases for the same 4 predictors.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00"/>
        <w:gridCol w:w="4800"/>
        <w:gridCol w:w="4800"/>
      </w:tblGrid>
      <w:tr>
        <w:tc>
          <w:tcPr>
            <w:tcW w:type="dxa" w:w="48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48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VIF</w:t>
            </w:r>
          </w:p>
        </w:tc>
        <w:tc>
          <w:tcPr>
            <w:tcW w:type="dxa" w:w="48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Complete-case n</w:t>
            </w:r>
          </w:p>
        </w:tc>
      </w:tr>
      <w:tr>
        <w:tc>
          <w:tcPr>
            <w:tcW w:type="dxa" w:w="48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3.006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633</w:t>
            </w:r>
          </w:p>
        </w:tc>
      </w:tr>
      <w:tr>
        <w:tc>
          <w:tcPr>
            <w:tcW w:type="dxa" w:w="48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2.714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633</w:t>
            </w:r>
          </w:p>
        </w:tc>
      </w:tr>
      <w:tr>
        <w:tc>
          <w:tcPr>
            <w:tcW w:type="dxa" w:w="48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1.138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633</w:t>
            </w:r>
          </w:p>
        </w:tc>
      </w:tr>
      <w:tr>
        <w:tc>
          <w:tcPr>
            <w:tcW w:type="dxa" w:w="48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1.331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633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S6. Full publication Table 1 Panel B stable coefficient matrix</w:t>
      </w:r>
    </w:p>
    <w:p>
      <w:pPr>
        <w:jc w:val="center"/>
      </w:pPr>
      <w:r>
        <w:rPr>
          <w:sz w:val="16"/>
        </w:rPr>
        <w:t>Rows are predictors and columns are retained models. Cells are bootstrap mean coefficient (bootstrap SD) [95% CI]; selection frequency.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BEDSIDE (Model 4; 4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AIMS (Model 1; 12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 (Model 5; 21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COMPASS (Model 8; 44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CASCADE (Model 2; 59 vars)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+68.60 (8.64) [52.39, 86.17];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+61.23 (9.53) [42.55, 79.89];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+77.72 (10.98) [57.21, 98.78];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+62.54 (10.00) [42.40, 81.97];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+63.94 (9.52) [45.64, 81.84];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-35.10 (5.92) [-46.15, -23.68];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-39.64 (6.32) [-52.01, -27.24];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-32.68 (6.55) [-45.10, -20.00];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-33.85 (6.37) [-45.78, -21.18];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-33.53 (6.22) [-45.19, -20.87];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+38.29 (8.29) [20.56, 53.03];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+33.06 (8.46) [16.66, 49.35];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+35.60 (9.03) [18.88, 54.17];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+30.26 (8.63) [13.79, 47.14];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+28.54 (8.50) [12.01, 45.78];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+17.59 (5.35) [7.43, 27.98];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+15.51 (5.24) [5.19, 25.25];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+16.86 (5.19) [7.29, 27.10];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+15.90 (5.16) [6.10, 25.81];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+15.85 (5.14) [6.07, 25.75];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+23.74 (7.18) [10.07, 37.45];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+27.72 (8.43) [11.02, 43.70];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+21.26 (6.67) [7.80, 34.22];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+17.06 (7.30) [2.63, 31.61];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+10.67 (5.68) [0.00, 21.48];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+24.16 (8.19) [9.05, 41.29];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+8.18 (5.35) [0.00, 18.52]; 92%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+8.49 (5.58) [0.00, 19.64]; 91%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-11.89 (5.42) [-22.08, 0.00]; 97%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-10.94 (6.00) [-22.38, 0.00];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-14.68 (5.77) [-26.00, -3.16];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-14.96 (5.65) [-25.87, -3.05];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-6.42 (6.08) [-19.72, 0.54]; 82%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 (7.94) [-31.61, -0.92];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-9.56 (6.27) [-21.49, 0.00];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-9.21 (6.49) [-22.46, 0.00]; 89%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-5.10 (5.20) [-16.64, 1.53];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+0.46 (5.92) [-10.61, 13.35];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-5.48 (5.09) [-16.65, 0.00]; 78%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-4.48 (4.91) [-15.97, 0.25]; 71%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GIB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+13.70 (4.31) [5.26, 22.12];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+14.84 (5.10) [5.10, 24.19];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-14.49 (5.38) [-24.60, -3.41];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-14.82 (5.27) [-25.78, -4.86];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+9.62 (5.41) [0.00, 20.17];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+9.11 (5.17) [0.00, 19.70]; 96%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-11.13 (5.77) [-21.97, 0.00];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-9.32 (5.50) [-20.20, 0.00]; 94%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CKD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-6.79 (4.21) [-14.90, 0.00];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-6.77 (4.67) [-16.54, 0.00]; 89%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-6.01 (3.84) [-13.66, 0.00];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-4.39 (3.63) [-12.39, 0.00]; 84%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ACA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+6.88 (5.31) [0.00, 18.22];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+8.23 (5.87) [0.00, 21.71]; 91%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+10.17 (6.37) [0.00, 22.32];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+11.21 (7.93) [0.00, 26.91]; 87%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-5.60 (4.25) [-14.26, 0.00];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-5.68 (4.14) [-14.66, 0.00]; 88%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+7.21 (5.63) [0.00, 18.35];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+5.30 (4.62) [0.00, 15.14]; 80%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-4.85 (4.03) [-13.65, 0.00];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-5.37 (4.21) [-14.37, 0.00]; 86%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LVS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+5.55 (4.95) [-0.68, 15.83];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+4.85 (4.66) [-0.22, 15.12]; 80%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+32.51 (7.95) [17.14, 48.24];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-24.47 (8.79) [-41.33, -8.29];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+14.76 (6.54) [1.88, 27.87];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EOMOut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+14.31 (6.43) [1.74, 26.68];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+13.52 (6.23) [0.24, 25.45];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+14.08 (7.54) [0.00, 29.30];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+8.10 (5.07) [-0.18, 18.34];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BI_T1T2_Change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-10.27 (8.06) [-27.60, 0.28]; 90%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FuglSEN_T1T2_Change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-5.89 (5.36) [-17.09, 3.03];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FuglSEN1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-4.67 (5.58) [-16.48, 4.58];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LLOut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-8.56 (7.15) [-23.20, 0.00]; 80%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NeglectOut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-1.03 (6.75) [-14.16, 13.09]; 79%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FOIS_T1T2_Change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+3.50 (6.86) [-8.42, 19.73]; 76%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+3.83 (4.77) [-3.68, 14.75]; 76%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LanguageOut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+4.90 (4.95) [0.00, 16.35]; 74%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FOIS1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+5.30 (5.49) [0.00, 18.28]; 73%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RLOut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-6.84 (7.27) [-23.95, 0.00]; 72%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Psychiatric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-2.31 (2.66) [-8.77, 0.43]; 70%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S7. Full publication Table 2 detailed stable coefficients</w:t>
      </w:r>
    </w:p>
    <w:p>
      <w:pPr>
        <w:jc w:val="center"/>
      </w:pPr>
      <w:r>
        <w:rPr>
          <w:sz w:val="16"/>
        </w:rPr>
        <w:t>This table retains the detailed coefficient rows for every stable predictor-model pairing from the original publication export.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</w:tblGrid>
      <w:tr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Model_label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Full-fit Coef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Boot Mean Coef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Boot SD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95% CI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Sel Freq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-35.4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[-46.15, -23.68]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69.04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68.6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8.64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[52.39, 86.17]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37.95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38.29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8.29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[20.56, 53.03]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[7.43, 27.98]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-39.17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-39.64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[-52.01, -27.24]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62.42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61.23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9.53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[42.55, 79.89]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10.47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21.48]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95%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23.96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23.74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7.18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[10.07, 37.45]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[16.66, 49.35]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[-16.64, 1.53]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-11.45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[-22.08,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6.08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[-19.72, 0.54]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15.69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[5.19, 25.25]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-32.46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-32.68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[-45.10, -20.00]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78.31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10.98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[57.21, 98.78]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32.51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[17.14, 48.24]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BI_T1T2_Change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[-27.60, 0.28]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25.19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24.16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[9.05, 41.29]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14.08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29.30]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FOIS_T1T2_Change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6.86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[-8.42, 19.73]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FuglSEN1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[-16.48, 4.58]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FuglSEN_T1T2_Change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-5.05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[-17.09, 3.03]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27.5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27.72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[11.02, 43.70]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14.24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[0.24, 25.45]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35.32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35.6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[18.88, 54.17]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[-10.61, 13.35]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14.97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14.76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[1.88, 27.87]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[-22.38,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5.07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[-0.18, 18.34]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95%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[-31.61, -0.92]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-25.02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-24.47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8.79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[-41.33, -8.29]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16.86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[7.29, 27.10]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ACA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6.88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18.22]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[-45.78, -21.18]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63.93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62.54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[42.40, 81.97]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CKD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-6.79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[-14.90,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-5.02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[-13.65,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-6.01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[-13.66,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9.87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9.62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20.17]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7.73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18.52]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21.26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[7.80, 34.22]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GIB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[5.26, 22.12]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30.25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30.26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[13.79, 47.14]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3.83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[-3.68, 14.75]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-5.48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5.09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[-16.65,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LVS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[-0.68, 15.83]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-13.89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-11.13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[-21.97,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[-26.00, -3.16]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-8.55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-9.56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[-21.49,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[-24.60, -3.41]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Psychiatric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2.66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[-8.77, 0.43]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[6.10, 25.81]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22.32]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[-14.26,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ACA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5.87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21.71]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-31.32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-33.53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[-45.19, -20.87]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64.33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63.94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[45.64, 81.84]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15.14]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CKD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[-16.54,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[-14.37,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-4.05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-4.39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[-12.39,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8.38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9.11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19.70]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EOMOut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[1.74, 26.68]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19.64]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FOIS1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18.28]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19.12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[2.63, 31.61]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GIB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[5.10, 24.19]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29.71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28.54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[12.01, 45.78]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-4.48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[-15.97, 0.25]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LLOut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-4.81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-8.56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7.15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[-23.20,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LVS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1.88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[-0.22, 15.12]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LanguageOut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16.35]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-12.44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[-20.20,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-14.96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[-25.87, -3.05]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[-22.46,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NeglectOut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6.75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[-14.16, 13.09]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-12.84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-14.82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[-25.78, -4.86]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RLOut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[-23.95,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15.69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[6.07, 25.75]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9.76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26.91]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[-14.66,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88%</w:t>
            </w:r>
          </w:p>
        </w:tc>
      </w:tr>
    </w:tbl>
    <w:p/>
    <w:sectPr w:rsidR="00FC693F" w:rsidRPr="0006063C" w:rsidSect="00034616">
      <w:pgSz w:w="15840" w:h="12240" w:orient="landscape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