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Table. Unadjusted and IPCW-Adjusted LassoCV Predictor Coefficients for 6MWT at Discharge (T4)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shd w:val="clear" w:color="auto" w:fill="2E4057"/>
        </w:trPr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Predictor</w:t>
            </w:r>
          </w:p>
        </w:tc>
        <w:tc>
          <w:tcPr>
            <w:tcW w:type="dxa" w:w="3702"/>
            <w:gridSpan w:val="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Unadjusted</w:t>
            </w:r>
          </w:p>
        </w:tc>
        <w:tc>
          <w:tcPr>
            <w:tcW w:type="dxa" w:w="3702"/>
            <w:gridSpan w:val="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IPCW-Adjusted</w:t>
            </w:r>
          </w:p>
        </w:tc>
      </w:tr>
      <w:tr>
        <w:trPr>
          <w:shd w:val="clear" w:color="auto" w:fill="4A90D9"/>
        </w:trPr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Predictor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β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95% CI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p-value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β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95% CI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p-value</w:t>
            </w:r>
          </w:p>
        </w:tc>
      </w:tr>
      <w:tr>
        <w:trPr>
          <w:shd w:val="clear" w:color="auto" w:fill="F2F2F2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BBS1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64.534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[42.538, 82.082]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&lt;0.001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64.902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[43.071, 82.137]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00000"/>
                <w:sz w:val="18"/>
              </w:rPr>
              <w:t>&lt;0.001</w:t>
            </w:r>
          </w:p>
        </w:tc>
      </w:tr>
      <w:tr>
        <w:trPr>
          <w:shd w:val="clear" w:color="auto" w:fill="FFFFFF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Gait_Speed_1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29.542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[13.755, 45.980]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&lt;0.001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29.246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[13.521, 45.856]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00000"/>
                <w:sz w:val="18"/>
              </w:rPr>
              <w:t>0.002</w:t>
            </w:r>
          </w:p>
        </w:tc>
      </w:tr>
      <w:tr>
        <w:trPr>
          <w:shd w:val="clear" w:color="auto" w:fill="F2F2F2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FuglUE1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19.246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[2.389, 29.336]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20.449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[3.014, 30.605]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00000"/>
                <w:sz w:val="18"/>
              </w:rPr>
              <w:t>0.020</w:t>
            </w:r>
          </w:p>
        </w:tc>
      </w:tr>
      <w:tr>
        <w:trPr>
          <w:shd w:val="clear" w:color="auto" w:fill="FFFFFF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Sex, F0 M1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15.962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[5.665, 26.080]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15.914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[5.980, 26.302]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00000"/>
                <w:sz w:val="18"/>
              </w:rPr>
              <w:t>0.004</w:t>
            </w:r>
          </w:p>
        </w:tc>
      </w:tr>
      <w:tr>
        <w:trPr>
          <w:shd w:val="clear" w:color="auto" w:fill="F2F2F2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EOMOut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12.802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[1.010, 27.818]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11.401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[0.000, 26.808]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0.056</w:t>
            </w:r>
          </w:p>
        </w:tc>
      </w:tr>
      <w:tr>
        <w:trPr>
          <w:shd w:val="clear" w:color="auto" w:fill="FFFFFF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Side_Right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10.457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[0.000, 27.808]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0.308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11.362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[0.000, 28.874]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0.276</w:t>
            </w:r>
          </w:p>
        </w:tc>
      </w:tr>
      <w:tr>
        <w:trPr>
          <w:shd w:val="clear" w:color="auto" w:fill="F2F2F2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GIB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11.781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[4.543, 22.808]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10.991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[3.927, 22.461]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00000"/>
                <w:sz w:val="18"/>
              </w:rPr>
              <w:t>0.006</w:t>
            </w:r>
          </w:p>
        </w:tc>
      </w:tr>
      <w:tr>
        <w:trPr>
          <w:shd w:val="clear" w:color="auto" w:fill="FFFFFF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Dyslipidemia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8.557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[0.000, 19.334]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8.311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[0.000, 19.200]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0.104</w:t>
            </w:r>
          </w:p>
        </w:tc>
      </w:tr>
      <w:tr>
        <w:trPr>
          <w:shd w:val="clear" w:color="auto" w:fill="F2F2F2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ACA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6.223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[0.000, 20.883]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0.274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5.352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[0.000, 21.278]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0.294</w:t>
            </w:r>
          </w:p>
        </w:tc>
      </w:tr>
      <w:tr>
        <w:trPr>
          <w:shd w:val="clear" w:color="auto" w:fill="FFFFFF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EuroQoL5D1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5.210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[0.000, 19.615]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0.202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4.834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[0.000, 19.443]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0.206</w:t>
            </w:r>
          </w:p>
        </w:tc>
      </w:tr>
      <w:tr>
        <w:trPr>
          <w:shd w:val="clear" w:color="auto" w:fill="F2F2F2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CAD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3.452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[0.000, 14.660]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0.436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4.246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[0.000, 14.934]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0.398</w:t>
            </w:r>
          </w:p>
        </w:tc>
      </w:tr>
      <w:tr>
        <w:trPr>
          <w:shd w:val="clear" w:color="auto" w:fill="FFFFFF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LVS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2.082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[-0.000, 14.466]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0.492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1.399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[-0.045, 14.102]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0.564</w:t>
            </w:r>
          </w:p>
        </w:tc>
      </w:tr>
      <w:tr>
        <w:trPr>
          <w:shd w:val="clear" w:color="auto" w:fill="F2F2F2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tPAIA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[0.000, 8.199]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[0.000, 9.177]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0.836</w:t>
            </w:r>
          </w:p>
        </w:tc>
      </w:tr>
      <w:tr>
        <w:trPr>
          <w:shd w:val="clear" w:color="auto" w:fill="FFFFFF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Gout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[-4.741, 12.143]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0.874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[-4.258, 12.549]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0.832</w:t>
            </w:r>
          </w:p>
        </w:tc>
      </w:tr>
      <w:tr>
        <w:trPr>
          <w:shd w:val="clear" w:color="auto" w:fill="F2F2F2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Loc_Infratentorial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0.559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[0.000, 14.986]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0.896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0.257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[0.000, 14.878]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0.924</w:t>
            </w:r>
          </w:p>
        </w:tc>
      </w:tr>
      <w:tr>
        <w:trPr>
          <w:shd w:val="clear" w:color="auto" w:fill="FFFFFF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LanguageOut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0.435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[0.000, 20.264]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0.502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[0.000, 20.595]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0.528</w:t>
            </w:r>
          </w:p>
        </w:tc>
      </w:tr>
      <w:tr>
        <w:trPr>
          <w:shd w:val="clear" w:color="auto" w:fill="F2F2F2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FOIS1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0.314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[0.000, 16.907]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0.610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[-0.333, 16.119]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0.684</w:t>
            </w:r>
          </w:p>
        </w:tc>
      </w:tr>
      <w:tr>
        <w:trPr>
          <w:shd w:val="clear" w:color="auto" w:fill="FFFFFF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Psychiatric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-0.407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[-6.558, 1.232]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-0.725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[-6.699, 0.875]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</w:tr>
      <w:tr>
        <w:trPr>
          <w:shd w:val="clear" w:color="auto" w:fill="F2F2F2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RLOut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-1.748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[-21.768, 0.000]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0.598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-1.251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[-21.845, 0.000]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0.640</w:t>
            </w:r>
          </w:p>
        </w:tc>
      </w:tr>
      <w:tr>
        <w:trPr>
          <w:shd w:val="clear" w:color="auto" w:fill="FFFFFF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Undetermined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-3.463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[-13.352, 0.000]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0.226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-3.098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[-12.965, 0.000]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0.254</w:t>
            </w:r>
          </w:p>
        </w:tc>
      </w:tr>
      <w:tr>
        <w:trPr>
          <w:shd w:val="clear" w:color="auto" w:fill="F2F2F2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Cellulitis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-3.652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[-13.323, 0.000]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0.366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-3.202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[-13.210, 0.000]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0.404</w:t>
            </w:r>
          </w:p>
        </w:tc>
      </w:tr>
      <w:tr>
        <w:trPr>
          <w:shd w:val="clear" w:color="auto" w:fill="FFFFFF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Dementia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-4.129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[-11.603, 0.000]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0.366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-3.885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[-11.228, 0.000]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0.418</w:t>
            </w:r>
          </w:p>
        </w:tc>
      </w:tr>
      <w:tr>
        <w:trPr>
          <w:shd w:val="clear" w:color="auto" w:fill="F2F2F2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LLOut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-5.552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[-23.684, 0.000]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0.432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-5.251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[-23.365, 0.000]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0.446</w:t>
            </w:r>
          </w:p>
        </w:tc>
      </w:tr>
      <w:tr>
        <w:trPr>
          <w:shd w:val="clear" w:color="auto" w:fill="FFFFFF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CKD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-4.174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[-14.633, 0.000]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0.262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-5.264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[-14.961, 0.000]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0.208</w:t>
            </w:r>
          </w:p>
        </w:tc>
      </w:tr>
      <w:tr>
        <w:trPr>
          <w:shd w:val="clear" w:color="auto" w:fill="F2F2F2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MRS1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-6.054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[-21.819, 0.000]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0.224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-5.783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[-21.753, 0.000]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0.238</w:t>
            </w:r>
          </w:p>
        </w:tc>
      </w:tr>
      <w:tr>
        <w:trPr>
          <w:shd w:val="clear" w:color="auto" w:fill="FFFFFF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MNA1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-11.331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[-25.045, -2.922]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-11.597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[-25.274, -2.783]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00000"/>
                <w:sz w:val="18"/>
              </w:rPr>
              <w:t>0.010</w:t>
            </w:r>
          </w:p>
        </w:tc>
      </w:tr>
      <w:tr>
        <w:trPr>
          <w:shd w:val="clear" w:color="auto" w:fill="F2F2F2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Loc_Subcortical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-12.332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[-21.652, 0.000]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0.106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-12.328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[-21.254, 0.000]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0.108</w:t>
            </w:r>
          </w:p>
        </w:tc>
      </w:tr>
      <w:tr>
        <w:trPr>
          <w:shd w:val="clear" w:color="auto" w:fill="FFFFFF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OldStroke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-13.151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[-24.995, -3.789]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-12.970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[-24.712, -3.388]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00000"/>
                <w:sz w:val="18"/>
              </w:rPr>
              <w:t>0.010</w:t>
            </w:r>
          </w:p>
        </w:tc>
      </w:tr>
      <w:tr>
        <w:trPr>
          <w:shd w:val="clear" w:color="auto" w:fill="F2F2F2"/>
        </w:trP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Age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-31.426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[-44.436, -21.517]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&lt;0.001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-30.516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[-44.014, -20.339]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00000"/>
                <w:sz w:val="18"/>
              </w:rPr>
              <w:t>&lt;0.001</w:t>
            </w:r>
          </w:p>
        </w:tc>
      </w:tr>
    </w:tbl>
    <w:p/>
    <w:p>
      <w:r>
        <w:rPr>
          <w:b/>
          <w:sz w:val="16"/>
        </w:rPr>
        <w:t xml:space="preserve">Legend. </w:t>
      </w:r>
      <w:r>
        <w:rPr>
          <w:sz w:val="16"/>
        </w:rPr>
        <w:t>β = standardized LassoCV regression coefficient (StandardScaler applied to all predictors). 95% CI = bootstrap 95% confidence interval (1 000 resamples, percentile method). p-value = two-sided bootstrap p-value. Unadjusted = LassoCV fitted on completers without sample weights. IPCW-Adjusted = LassoCV fitted on completers using stabilized inverse-probability-of-completion weights (pre-computed in Tip_Over_Analysis_artifacts_out_202608081955.csv). Only predictors with a non-zero coefficient in at least one model are shown. Red bold p-values indicate statistical significance (p &lt; 0.05) in the IPCW-adjusted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