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Heiti SC" w:hAnsi="Heiti SC" w:eastAsia="Heiti SC" w:cs="Heiti SC"/>
          <w:b/>
          <w:color w:val="F15B24"/>
          <w:sz w:val="17"/>
        </w:rPr>
        <w:t>STRATEGY REVIEW · WORKING HYPOTHESIS</w:t>
      </w:r>
    </w:p>
    <w:p>
      <w:pPr>
        <w:spacing w:after="140"/>
      </w:pPr>
      <w:r>
        <w:rPr>
          <w:rFonts w:ascii="Heiti SC" w:hAnsi="Heiti SC" w:eastAsia="Heiti SC" w:cs="Heiti SC"/>
          <w:b/>
          <w:color w:val="202124"/>
          <w:sz w:val="48"/>
        </w:rPr>
        <w:t>医疗健康“四到”战略回顾</w:t>
      </w:r>
    </w:p>
    <w:p>
      <w:pPr>
        <w:spacing w:after="360"/>
      </w:pPr>
      <w:r>
        <w:rPr>
          <w:rFonts w:ascii="Heiti SC" w:hAnsi="Heiti SC" w:eastAsia="Heiti SC" w:cs="Heiti SC"/>
          <w:b w:val="0"/>
          <w:color w:val="6F747C"/>
          <w:sz w:val="23"/>
        </w:rPr>
        <w:t>报告 Hypothesis｜基于历史项目、最新进展与外部对标的初步判断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3EC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100"/>
            </w:pPr>
            <w:r>
              <w:rPr>
                <w:rFonts w:ascii="Heiti SC" w:hAnsi="Heiti SC" w:eastAsia="Heiti SC" w:cs="Heiti SC"/>
                <w:b/>
                <w:color w:val="F15B24"/>
                <w:sz w:val="18"/>
              </w:rPr>
              <w:t>核心判断</w:t>
            </w:r>
          </w:p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202124"/>
                <w:sz w:val="23"/>
              </w:rPr>
              <w:t>本轮回顾不应只评价“四到”覆盖了多少，而应检验其是否形成以家庭医生为导航、以支付能力为连接、以全场景履约为支撑、以健康结果和经营价值为衡量的管理式医疗闭环。</w:t>
            </w:r>
          </w:p>
        </w:tc>
      </w:tr>
    </w:tbl>
    <w:p>
      <w:pPr>
        <w:spacing w:after="20"/>
      </w:pPr>
    </w:p>
    <w:p>
      <w:pPr>
        <w:spacing w:after="200"/>
      </w:pPr>
      <w:r>
        <w:rPr>
          <w:rFonts w:ascii="Heiti SC" w:hAnsi="Heiti SC" w:eastAsia="Heiti SC" w:cs="Heiti SC"/>
          <w:b/>
          <w:color w:val="202124"/>
          <w:sz w:val="30"/>
        </w:rPr>
        <w:t>四项待验证 Hypothesis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2563"/>
        </w:trPr>
        <w:tc>
          <w:tcPr>
            <w:tcW w:type="dxa" w:w="5040"/>
            <w:shd w:fill="F5F6F7"/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100"/>
            </w:pPr>
            <w:r>
              <w:rPr>
                <w:rFonts w:ascii="Heiti SC" w:hAnsi="Heiti SC" w:eastAsia="Heiti SC" w:cs="Heiti SC"/>
                <w:b/>
                <w:color w:val="F15B24"/>
                <w:sz w:val="17"/>
              </w:rPr>
              <w:t>H1 / 战略定位</w:t>
            </w:r>
          </w:p>
          <w:p>
            <w:pPr>
              <w:spacing w:after="120"/>
            </w:pPr>
            <w:r>
              <w:rPr>
                <w:rFonts w:ascii="Heiti SC" w:hAnsi="Heiti SC" w:eastAsia="Heiti SC" w:cs="Heiti SC"/>
                <w:b/>
                <w:color w:val="202124"/>
                <w:sz w:val="22"/>
              </w:rPr>
              <w:t>“四到”需要由渠道网络升级为管理式医疗操作系统</w:t>
            </w:r>
          </w:p>
          <w:p>
            <w:pPr>
              <w:spacing w:after="100"/>
            </w:pPr>
            <w:r>
              <w:rPr>
                <w:rFonts w:ascii="Heiti SC" w:hAnsi="Heiti SC" w:eastAsia="Heiti SC" w:cs="Heiti SC"/>
                <w:b w:val="0"/>
                <w:color w:val="202124"/>
                <w:sz w:val="18"/>
              </w:rPr>
              <w:t>关键不在触点数量，而在能否围绕客户旅程持续组织支付、供给、服务和数据。</w:t>
            </w:r>
          </w:p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6F747C"/>
                <w:sz w:val="17"/>
              </w:rPr>
              <w:t>重点验证：跨场景旅程是否连续；统一导航和协同机制是否建立。</w:t>
            </w:r>
          </w:p>
        </w:tc>
        <w:tc>
          <w:tcPr>
            <w:tcW w:type="dxa" w:w="5040"/>
            <w:shd w:fill="F5F6F7"/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100"/>
            </w:pPr>
            <w:r>
              <w:rPr>
                <w:rFonts w:ascii="Heiti SC" w:hAnsi="Heiti SC" w:eastAsia="Heiti SC" w:cs="Heiti SC"/>
                <w:b/>
                <w:color w:val="F15B24"/>
                <w:sz w:val="17"/>
              </w:rPr>
              <w:t>H2 / 差异化</w:t>
            </w:r>
          </w:p>
          <w:p>
            <w:pPr>
              <w:spacing w:after="120"/>
            </w:pPr>
            <w:r>
              <w:rPr>
                <w:rFonts w:ascii="Heiti SC" w:hAnsi="Heiti SC" w:eastAsia="Heiti SC" w:cs="Heiti SC"/>
                <w:b/>
                <w:color w:val="202124"/>
                <w:sz w:val="22"/>
              </w:rPr>
              <w:t>支付方能力必须转化为可感知的服务闭环</w:t>
            </w:r>
          </w:p>
          <w:p>
            <w:pPr>
              <w:spacing w:after="100"/>
            </w:pPr>
            <w:r>
              <w:rPr>
                <w:rFonts w:ascii="Heiti SC" w:hAnsi="Heiti SC" w:eastAsia="Heiti SC" w:cs="Heiti SC"/>
                <w:b w:val="0"/>
                <w:color w:val="202124"/>
                <w:sz w:val="18"/>
              </w:rPr>
              <w:t>保险直付、企业账户和健康权益需要嵌入就医与健康管理，形成体验与成本优势。</w:t>
            </w:r>
          </w:p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6F747C"/>
                <w:sz w:val="17"/>
              </w:rPr>
              <w:t>重点验证：支付覆盖、直付效率、服务转化和客户留存的关联。</w:t>
            </w:r>
          </w:p>
        </w:tc>
      </w:tr>
      <w:tr>
        <w:trPr>
          <w:trHeight w:val="2563"/>
        </w:trPr>
        <w:tc>
          <w:tcPr>
            <w:tcW w:type="dxa" w:w="5040"/>
            <w:shd w:fill="FAFAFA"/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100"/>
            </w:pPr>
            <w:r>
              <w:rPr>
                <w:rFonts w:ascii="Heiti SC" w:hAnsi="Heiti SC" w:eastAsia="Heiti SC" w:cs="Heiti SC"/>
                <w:b/>
                <w:color w:val="F15B24"/>
                <w:sz w:val="17"/>
              </w:rPr>
              <w:t>H3 / AI能力</w:t>
            </w:r>
          </w:p>
          <w:p>
            <w:pPr>
              <w:spacing w:after="120"/>
            </w:pPr>
            <w:r>
              <w:rPr>
                <w:rFonts w:ascii="Heiti SC" w:hAnsi="Heiti SC" w:eastAsia="Heiti SC" w:cs="Heiti SC"/>
                <w:b/>
                <w:color w:val="202124"/>
                <w:sz w:val="22"/>
              </w:rPr>
              <w:t>AI家庭医生应成为“识别—导航—协同—随访”中枢</w:t>
            </w:r>
          </w:p>
          <w:p>
            <w:pPr>
              <w:spacing w:after="100"/>
            </w:pPr>
            <w:r>
              <w:rPr>
                <w:rFonts w:ascii="Heiti SC" w:hAnsi="Heiti SC" w:eastAsia="Heiti SC" w:cs="Heiti SC"/>
                <w:b w:val="0"/>
                <w:color w:val="202124"/>
                <w:sz w:val="18"/>
              </w:rPr>
              <w:t>AI的价值不只是问答，而是连接真人医生、医疗机构和后续服务履约。</w:t>
            </w:r>
          </w:p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6F747C"/>
                <w:sz w:val="17"/>
              </w:rPr>
              <w:t>重点验证：需求识别准确率、转诊履约率、随访连续性和人工协同效率。</w:t>
            </w:r>
          </w:p>
        </w:tc>
        <w:tc>
          <w:tcPr>
            <w:tcW w:type="dxa" w:w="5040"/>
            <w:shd w:fill="FAFAFA"/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100"/>
            </w:pPr>
            <w:r>
              <w:rPr>
                <w:rFonts w:ascii="Heiti SC" w:hAnsi="Heiti SC" w:eastAsia="Heiti SC" w:cs="Heiti SC"/>
                <w:b/>
                <w:color w:val="F15B24"/>
                <w:sz w:val="17"/>
              </w:rPr>
              <w:t>H4 / 价值衡量</w:t>
            </w:r>
          </w:p>
          <w:p>
            <w:pPr>
              <w:spacing w:after="120"/>
            </w:pPr>
            <w:r>
              <w:rPr>
                <w:rFonts w:ascii="Heiti SC" w:hAnsi="Heiti SC" w:eastAsia="Heiti SC" w:cs="Heiti SC"/>
                <w:b/>
                <w:color w:val="202124"/>
                <w:sz w:val="22"/>
              </w:rPr>
              <w:t>战略衡量应从覆盖指标转向健康结果与经营价值双闭环</w:t>
            </w:r>
          </w:p>
          <w:p>
            <w:pPr>
              <w:spacing w:after="100"/>
            </w:pPr>
            <w:r>
              <w:rPr>
                <w:rFonts w:ascii="Heiti SC" w:hAnsi="Heiti SC" w:eastAsia="Heiti SC" w:cs="Heiti SC"/>
                <w:b w:val="0"/>
                <w:color w:val="202124"/>
                <w:sz w:val="18"/>
              </w:rPr>
              <w:t>既要衡量健康结果、体验和总成本，也要衡量留存、加保及生态协同贡献。</w:t>
            </w:r>
          </w:p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6F747C"/>
                <w:sz w:val="17"/>
              </w:rPr>
              <w:t>重点验证：指标口径、数据归因、价值基线和管理责任。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Heiti SC" w:hAnsi="Heiti SC" w:eastAsia="Heiti SC" w:cs="Heiti SC"/>
          <w:b/>
          <w:color w:val="202124"/>
          <w:sz w:val="28"/>
        </w:rPr>
        <w:t>下一步验证议程</w:t>
      </w:r>
    </w:p>
    <w:p>
      <w:pPr>
        <w:spacing w:after="80"/>
        <w:ind w:left="115"/>
      </w:pPr>
      <w:r>
        <w:rPr>
          <w:rFonts w:ascii="Heiti SC" w:hAnsi="Heiti SC" w:eastAsia="Heiti SC" w:cs="Heiti SC"/>
          <w:b w:val="0"/>
          <w:color w:val="202124"/>
          <w:sz w:val="19"/>
        </w:rPr>
        <w:t>1. 明确三类优先客户旅程：慢病管理、就医协同、企业健康。</w:t>
      </w:r>
    </w:p>
    <w:p>
      <w:pPr>
        <w:spacing w:after="80"/>
        <w:ind w:left="115"/>
      </w:pPr>
      <w:r>
        <w:rPr>
          <w:rFonts w:ascii="Heiti SC" w:hAnsi="Heiti SC" w:eastAsia="Heiti SC" w:cs="Heiti SC"/>
          <w:b w:val="0"/>
          <w:color w:val="202124"/>
          <w:sz w:val="19"/>
        </w:rPr>
        <w:t>2. 对齐身份、权益、支付、服务和数据五个闭环的现状与差距。</w:t>
      </w:r>
    </w:p>
    <w:p>
      <w:pPr>
        <w:spacing w:after="80"/>
        <w:ind w:left="115"/>
      </w:pPr>
      <w:r>
        <w:rPr>
          <w:rFonts w:ascii="Heiti SC" w:hAnsi="Heiti SC" w:eastAsia="Heiti SC" w:cs="Heiti SC"/>
          <w:b w:val="0"/>
          <w:color w:val="202124"/>
          <w:sz w:val="19"/>
        </w:rPr>
        <w:t>3. 评估家庭医生与AI在导航、协同、履约和随访中的职责边界。</w:t>
      </w:r>
    </w:p>
    <w:p>
      <w:pPr>
        <w:spacing w:after="80"/>
        <w:ind w:left="115"/>
      </w:pPr>
      <w:r>
        <w:rPr>
          <w:rFonts w:ascii="Heiti SC" w:hAnsi="Heiti SC" w:eastAsia="Heiti SC" w:cs="Heiti SC"/>
          <w:b w:val="0"/>
          <w:color w:val="202124"/>
          <w:sz w:val="19"/>
        </w:rPr>
        <w:t>4. 建立客户价值、健康结果、服务成本和金融协同的统一指标。</w:t>
      </w:r>
    </w:p>
    <w:p>
      <w:pPr>
        <w:spacing w:before="160"/>
        <w:jc w:val="right"/>
      </w:pPr>
      <w:r>
        <w:rPr>
          <w:rFonts w:ascii="Heiti SC" w:hAnsi="Heiti SC" w:eastAsia="Heiti SC" w:cs="Heiti SC"/>
          <w:b w:val="0"/>
          <w:color w:val="6F747C"/>
          <w:sz w:val="17"/>
        </w:rPr>
        <w:t>集团战发中心｜2026年9月｜讨论稿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 w:cs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