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1F4E79"/>
          <w:sz w:val="44"/>
        </w:rPr>
        <w:t>控N分析报告 JSON结构映射说明</w:t>
      </w:r>
    </w:p>
    <w:p>
      <w:pPr>
        <w:jc w:val="center"/>
      </w:pPr>
      <w:r>
        <w:rPr>
          <w:rFonts w:ascii="宋体" w:hAnsi="宋体" w:eastAsia="宋体"/>
          <w:sz w:val="21"/>
        </w:rPr>
        <w:t>与《控N关键因子相关性分析及最优窗口建议报告》章节结构完全一致</w:t>
      </w:r>
    </w:p>
    <w:p>
      <w:pPr>
        <w:jc w:val="center"/>
      </w:pPr>
      <w:r>
        <w:rPr>
          <w:rFonts w:ascii="宋体" w:hAnsi="宋体" w:eastAsia="宋体"/>
          <w:sz w:val="21"/>
        </w:rPr>
        <w:t>逐项说明报告文字、图形、表格、统计结论及窗口建议在JSON中的具体位置</w:t>
      </w:r>
    </w:p>
    <w:p>
      <w:pPr>
        <w:jc w:val="center"/>
      </w:pPr>
      <w:r>
        <w:rPr>
          <w:rFonts w:ascii="宋体" w:hAnsi="宋体" w:eastAsia="宋体"/>
          <w:sz w:val="21"/>
        </w:rPr>
        <w:t>适用于Vue前端绘制、接口联调、报告复现与业务口径核对</w:t>
      </w:r>
    </w:p>
    <w:p>
      <w:r>
        <w:br w:type="page"/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目录</w:t>
      </w:r>
    </w:p>
    <w:p>
      <w:pPr>
        <w:ind w:left="680"/>
      </w:pPr>
      <w:r>
        <w:rPr>
          <w:rFonts w:ascii="宋体" w:hAnsi="宋体" w:eastAsia="宋体"/>
          <w:sz w:val="22"/>
        </w:rPr>
        <w:t>报告结论摘要</w:t>
      </w:r>
    </w:p>
    <w:p>
      <w:pPr>
        <w:ind w:left="680"/>
      </w:pPr>
      <w:r>
        <w:rPr>
          <w:rFonts w:ascii="宋体" w:hAnsi="宋体" w:eastAsia="宋体"/>
          <w:sz w:val="22"/>
        </w:rPr>
        <w:t>1. 分析目标与模型调整</w:t>
      </w:r>
    </w:p>
    <w:p>
      <w:pPr>
        <w:ind w:left="680"/>
      </w:pPr>
      <w:r>
        <w:rPr>
          <w:rFonts w:ascii="宋体" w:hAnsi="宋体" w:eastAsia="宋体"/>
          <w:sz w:val="22"/>
        </w:rPr>
        <w:t>2. 数据范围与清洗口径</w:t>
      </w:r>
    </w:p>
    <w:p>
      <w:pPr>
        <w:ind w:left="680"/>
      </w:pPr>
      <w:r>
        <w:rPr>
          <w:rFonts w:ascii="宋体" w:hAnsi="宋体" w:eastAsia="宋体"/>
          <w:sz w:val="22"/>
        </w:rPr>
        <w:t>3. 三个分析目标的总体分布</w:t>
      </w:r>
    </w:p>
    <w:p>
      <w:pPr>
        <w:ind w:left="680"/>
      </w:pPr>
      <w:r>
        <w:rPr>
          <w:rFonts w:ascii="宋体" w:hAnsi="宋体" w:eastAsia="宋体"/>
          <w:sz w:val="22"/>
        </w:rPr>
        <w:t>4. 过程因子与2号样N、出站N、ΔN的关系</w:t>
      </w:r>
    </w:p>
    <w:p>
      <w:pPr>
        <w:ind w:left="680"/>
      </w:pPr>
      <w:r>
        <w:rPr>
          <w:rFonts w:ascii="宋体" w:hAnsi="宋体" w:eastAsia="宋体"/>
          <w:sz w:val="22"/>
        </w:rPr>
        <w:t>5. 氮化硅锰加料的最终解释</w:t>
      </w:r>
    </w:p>
    <w:p>
      <w:pPr>
        <w:ind w:left="680"/>
      </w:pPr>
      <w:r>
        <w:rPr>
          <w:rFonts w:ascii="宋体" w:hAnsi="宋体" w:eastAsia="宋体"/>
          <w:sz w:val="22"/>
        </w:rPr>
        <w:t>6. 真空与提升气体的口径调整</w:t>
      </w:r>
    </w:p>
    <w:p>
      <w:pPr>
        <w:ind w:left="680"/>
      </w:pPr>
      <w:r>
        <w:rPr>
          <w:rFonts w:ascii="宋体" w:hAnsi="宋体" w:eastAsia="宋体"/>
          <w:sz w:val="22"/>
        </w:rPr>
        <w:t>7. 工位差异分析</w:t>
      </w:r>
    </w:p>
    <w:p>
      <w:pPr>
        <w:ind w:left="680"/>
      </w:pPr>
      <w:r>
        <w:rPr>
          <w:rFonts w:ascii="宋体" w:hAnsi="宋体" w:eastAsia="宋体"/>
          <w:sz w:val="22"/>
        </w:rPr>
        <w:t>8. 多目标模型调整结果</w:t>
      </w:r>
    </w:p>
    <w:p>
      <w:pPr>
        <w:ind w:left="680"/>
      </w:pPr>
      <w:r>
        <w:rPr>
          <w:rFonts w:ascii="宋体" w:hAnsi="宋体" w:eastAsia="宋体"/>
          <w:sz w:val="22"/>
        </w:rPr>
        <w:t>9. 最优工艺窗口建议</w:t>
      </w:r>
    </w:p>
    <w:p>
      <w:pPr>
        <w:ind w:left="680"/>
      </w:pPr>
      <w:r>
        <w:rPr>
          <w:rFonts w:ascii="宋体" w:hAnsi="宋体" w:eastAsia="宋体"/>
          <w:sz w:val="22"/>
        </w:rPr>
        <w:t>10. 最终结论</w:t>
      </w:r>
    </w:p>
    <w:p>
      <w:r>
        <w:br w:type="page"/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报告结论摘要</w:t>
      </w:r>
    </w:p>
    <w:p>
      <w:pPr>
        <w:spacing w:before="120" w:after="120"/>
        <w:ind w:left="283" w:right="283"/>
        <w:jc w:val="left"/>
      </w:pPr>
      <w:r>
        <w:rPr>
          <w:rFonts w:ascii="宋体" w:hAnsi="宋体" w:eastAsia="宋体"/>
          <w:sz w:val="21"/>
        </w:rPr>
        <w:t>本章对应最终分析报告首页“报告结论摘要”，用于展示三类分析目标、关键因子、最终结论和后续分析目标。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报告内容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字段及使用说明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报告标题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$.meta.report_title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直接作为Word和Vue页面主标题。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生成时间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$.meta.generated_at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用于报告生成时间、接口返回时间显示。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样本数232炉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$.meta.sample_count $.data_quality.sample_count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两个节点数值应保持一致。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业务分析链条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$.meta.business_chain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对应“2号样N→过程参数→出站N与ΔN”。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三类分析目标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$.meta.analysis_targets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数组中依次为N2、N4、DELTA_N；字段包括code、name、role。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摘要完整对象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$.report_conclusion_summary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前端摘要组件应优先直接读取该节点。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最终结论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$.report_conclusion_summary.final_conclusions $.correlation_analysis.main_conclusions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若需要完全复现报告首页，优先使用final_conclusions；相关性补充结论取main_conclusions。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关键因子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$.report_conclusion_summary.key_factors $.field_mapping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关键因子列表与字段编码可结合展示。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后续分析目标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$.report_conclusion_summary.follow_up_analysis_objective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对应“2号样N均值到出站N均值的变化和补偿关系”。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摘要中三个分析目标的逐项映射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 Path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主要字段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$.meta.analysis_targets[0]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code=N2；name=2号样N；role=控N起点，用于输入分层和工况识别。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出站N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$.meta.analysis_targets[1]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code=N4；name=出站N；role=最终结果指标。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ΔN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$.meta.analysis_targets[2]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code=DELTA_N；name=ΔN=出站N-2号样N；role=2号样后过程净变化指标。</w:t>
            </w:r>
          </w:p>
        </w:tc>
      </w:tr>
    </w:tbl>
    <w:p/>
    <w:p>
      <w:pPr>
        <w:pStyle w:val="Heading1"/>
        <w:jc w:val="both"/>
      </w:pPr>
      <w:r>
        <w:rPr>
          <w:rFonts w:ascii="宋体" w:hAnsi="宋体" w:eastAsia="宋体"/>
          <w:sz w:val="21"/>
        </w:rPr>
        <w:t>1. 分析目标与模型调整</w:t>
      </w:r>
    </w:p>
    <w:p>
      <w:pPr>
        <w:spacing w:before="120" w:after="120"/>
        <w:ind w:left="283" w:right="283"/>
        <w:jc w:val="left"/>
      </w:pPr>
      <w:r>
        <w:rPr>
          <w:rFonts w:ascii="宋体" w:hAnsi="宋体" w:eastAsia="宋体"/>
          <w:sz w:val="21"/>
        </w:rPr>
        <w:t>本章与报告第1章完全对应，说明三层目标、过程因子范围以及当前模型口径。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报告内容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详细说明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三层目标总述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$.mechanism_framework.analysis_targets $.meta.analysis_targets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前者为可直接展示的说明文字，后者为结构化目标数组。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2号样N作为控N起点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$.mechanism_framework.input_n $.meta.analysis_targets[0].role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用于输入分层和工况识别，不作为后续过程的因果结果。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出站N作为最终结果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$.meta.analysis_targets[1] $.model_analysis.target_n4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用于最终控N结果评价及预测模型。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ΔN作为过程净变化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$.meta.analysis_targets[2] $.raw_records[*].DELTA_N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计算公式为N4-N2，用于判断降N、稳N、补N/增N。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过程因子范围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$.field_mapping $.model_analysis.*.feature_codes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包括加料、低频真空、持续时间、工位；提升气体保留后续接入位。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N2/N4口径自动校正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$.meta.n_field_auto_swapped $.meta.n_field_mapping_note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页面应明确提示原始字段与标准字段的校正关系。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前端取数建议</w:t>
      </w:r>
    </w:p>
    <w:p>
      <w:r>
        <w:rPr>
          <w:rFonts w:ascii="Consolas" w:hAnsi="Consolas" w:eastAsia="Consolas"/>
          <w:sz w:val="18"/>
        </w:rPr>
        <w:t>const targets = data.meta.analysis_targets;</w:t>
        <w:br/>
        <w:t>const n2Target = targets.find(x =&gt; x.code === 'N2');</w:t>
        <w:br/>
        <w:t>const n4Target = targets.find(x =&gt; x.code === 'N4');</w:t>
        <w:br/>
        <w:t>const deltaTarget = targets.find(x =&gt; x.code === 'DELTA_N');</w:t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2. 数据范围与清洗口径</w:t>
      </w:r>
    </w:p>
    <w:p>
      <w:pPr>
        <w:spacing w:before="120" w:after="120"/>
        <w:ind w:left="283" w:right="283"/>
        <w:jc w:val="left"/>
      </w:pPr>
      <w:r>
        <w:rPr>
          <w:rFonts w:ascii="宋体" w:hAnsi="宋体" w:eastAsia="宋体"/>
          <w:sz w:val="21"/>
        </w:rPr>
        <w:t>本章对应报告第2章及表1“数据范围与清洗口径”。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表1项目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低频炉次样本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$.report_tables.table_1_data_scope $.data_quality.sample_count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报告显示232炉。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N2/N4字段口径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$.meta.n_field_mapping_note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原始N4列作为2号样N，原始N2列作为出站N。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负值高真空持续时间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$.data_quality.negative_time_span_count $.data_quality.negative_time_span_note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9条；不参与窗口、净降N速度和建模，原始记录仍保留。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提升气体高频字段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$.data_quality.lift_gas_field_status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当前未提供，不能直接量化与出站N的关系。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清洗口径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$.field_mapping $.raw_records[*].DEVO_HAS_FEED $.raw_records[*].TIME_SPAN_VALID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DEVO_WT空值按0并生成是否加料标识；负时长置为无效；ΔN统一为N4-N2。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字段映射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报告字段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标准字段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JSON位置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炉号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HEAT_NO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$.field_mapping 中standard_field=HEAT_NO；明细在 $.raw_records[*].HEAT_NO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工位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DEV_CODE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$.raw_records[*].DEV_CODE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$.raw_records[*].N2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出站N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$.raw_records[*].N4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氮化硅锰加料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DEVO_WT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$.raw_records[*].DEVO_WT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2号样时真空度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N2_VACUUM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$.raw_records[*].N2_VACUUM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破空时真空度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BREAK_VACUUM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$.raw_records[*].BREAK_VACUUM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高真空持续时间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TIME_SPAN_VALID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$.raw_records[*].TIME_SPAN_VALID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真空度变化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VACUUM_DELTA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$.raw_records[*].VACUUM_DELTA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净降N速度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N_CHANGE_RATE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$.raw_records[*].N_CHANGE_RATE</w:t>
            </w:r>
          </w:p>
        </w:tc>
      </w:tr>
    </w:tbl>
    <w:p/>
    <w:p>
      <w:pPr>
        <w:pStyle w:val="Heading1"/>
        <w:jc w:val="both"/>
      </w:pPr>
      <w:r>
        <w:rPr>
          <w:rFonts w:ascii="宋体" w:hAnsi="宋体" w:eastAsia="宋体"/>
          <w:sz w:val="21"/>
        </w:rPr>
        <w:t>3. 三个分析目标的总体分布</w:t>
      </w:r>
    </w:p>
    <w:p>
      <w:pPr>
        <w:spacing w:before="120" w:after="120"/>
        <w:ind w:left="283" w:right="283"/>
        <w:jc w:val="left"/>
      </w:pPr>
      <w:r>
        <w:rPr>
          <w:rFonts w:ascii="宋体" w:hAnsi="宋体" w:eastAsia="宋体"/>
          <w:sz w:val="21"/>
        </w:rPr>
        <w:t>本章对应图1、图2和表2。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取数规则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图1 2号样N与出站N时序对比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$.charts.figure_1_time_series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标题取title，图片取path，重绘数据取data；序列字段为N2、N4。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图2 2号样N与出站N散点关系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$.charts.figure_2_scatter_n2_n4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x_field=N2；y_field=N4；series_field=DEV_CODE；参考线取reference_lines。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表2 核心目标与过程变量统计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$.report_tables.table_2_descriptive_statistics $.descriptive_statistics.rows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Word复现优先使用report_tables；交互页面可直接读取descriptive_statistics.rows。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总体分布解释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$.correlation_analysis.main_conclusions[0] $.mechanism_framework.analysis_targets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说明N2、N4、ΔN需要分开解释。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表2每列对应字段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报告列</w:t>
            </w:r>
          </w:p>
        </w:tc>
        <w:tc>
          <w:tcPr>
            <w:tcW w:type="dxa" w:w="498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JSON字段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field_name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样本数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均值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mean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P25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p25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中位数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median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P75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p75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最小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min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最大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max</w:t>
            </w:r>
          </w:p>
        </w:tc>
      </w:tr>
    </w:tbl>
    <w:p/>
    <w:p>
      <w:pPr>
        <w:pStyle w:val="Heading1"/>
        <w:jc w:val="both"/>
      </w:pPr>
      <w:r>
        <w:rPr>
          <w:rFonts w:ascii="宋体" w:hAnsi="宋体" w:eastAsia="宋体"/>
          <w:sz w:val="21"/>
        </w:rPr>
        <w:t>4. 过程因子与2号样N、出站N、ΔN的关系</w:t>
      </w:r>
    </w:p>
    <w:p>
      <w:pPr>
        <w:spacing w:before="120" w:after="120"/>
        <w:ind w:left="283" w:right="283"/>
        <w:jc w:val="left"/>
      </w:pPr>
      <w:r>
        <w:rPr>
          <w:rFonts w:ascii="宋体" w:hAnsi="宋体" w:eastAsia="宋体"/>
          <w:sz w:val="21"/>
        </w:rPr>
        <w:t>本章对应图3、表3以及四条结果解释。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详细说明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图3 Spearman相关系数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$.charts.figure_3_spearman_comparison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重绘数据取 $.correlation_analysis.comparison_rows 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表3 三目标相关性对照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$.report_tables.table_3_correlation_comparison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备选数据源为comparison_rows。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2号样N详细相关性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$.correlation_analysis.target_n2.rows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每行含factor_code、rho、p、显著性、工程解释。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出站N详细相关性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$.correlation_analysis.target_n4.rows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结构与target_n2一致。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ΔN详细相关性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$.correlation_analysis.target_delta_n.rows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加料、破空真空度、真空变化是重点。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章末结论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$.correlation_analysis.main_conclusions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数组4条与报告章末4条解释逐项对应。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表3字段映射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报告列</w:t>
            </w:r>
          </w:p>
        </w:tc>
        <w:tc>
          <w:tcPr>
            <w:tcW w:type="dxa" w:w="498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JSON字段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过程因子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factor_name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与2号样N rho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rho_n2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与2号样N p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p_n2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与出站N rho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rho_n4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与出站N p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p_n4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与ΔN rho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rho_delta_n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与ΔN p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p_delta_n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按因子编码定位</w:t>
      </w:r>
    </w:p>
    <w:p>
      <w:r>
        <w:rPr>
          <w:rFonts w:ascii="Consolas" w:hAnsi="Consolas" w:eastAsia="Consolas"/>
          <w:sz w:val="18"/>
        </w:rPr>
        <w:t>DEVO_WT          氮化硅锰加料量</w:t>
        <w:br/>
        <w:t>DEVO_HAS_FEED    是否有加料记录</w:t>
        <w:br/>
        <w:t>N2_VACUUM        2号样时真空度</w:t>
        <w:br/>
        <w:t>BREAK_VACUUM     破空时真空度</w:t>
        <w:br/>
        <w:t>VACUUM_DELTA     真空度变化</w:t>
        <w:br/>
        <w:t>TIME_SPAN_VALID  2号样到破空高真空持续时间</w:t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5. 氮化硅锰加料的最终解释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图4 加料量分箱与出站N/ΔN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$.charts.figure_4_devo_bin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重绘数据取 $.binned_analysis.DEVO_WT.rows 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表4 加料分箱结果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$.report_tables.table_4_devo_bin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若节点不存在，则直接绑定binned_analysis.DEVO_WT.rows。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补N/合金化机理解释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$.mechanism_framework.feeding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可直接作为报告说明文字。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加料与ΔN证据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$.correlation_analysis.target_delta_n.rows 中factor_code=DEVO_WT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重点读取spearman_rho、p_display和engineering_interpretation。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是否加料与ΔN证据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$.correlation_analysis.target_delta_n.rows 中factor_code=DEVO_HAS_FEED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说明加料行为本身与过程补偿的关系。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0-10核心、0-20观察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$.optimal_windows.rows 中factor_code=DEVO_WT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显示字段使用core_window_p25_p75和warning_window_p10_p90。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表4行字段</w:t>
      </w:r>
    </w:p>
    <w:p>
      <w:pPr>
        <w:jc w:val="both"/>
      </w:pPr>
      <w:r>
        <w:rPr>
          <w:rFonts w:ascii="Consolas" w:hAnsi="Consolas" w:eastAsia="Consolas"/>
          <w:color w:val="9C0006"/>
          <w:sz w:val="19"/>
        </w:rPr>
        <w:t>bin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sample_count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n2_mean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n4_mean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delta_n_mean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n_change_rate_mean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break_vacuum_mean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6. 真空与提升气体的口径调整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真空采用低频口径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$.mechanism_framework.vacuum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若字段为压力/读数，读数越大通常表示实际真空越差。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破空真空度统计证据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$.correlation_analysis.target_delta_n.rows 中factor_code=BREAK_VACUUM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与ΔN相关性及工程解释。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真空度变化统计证据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$.correlation_analysis.target_delta_n.rows 中factor_code=VACUUM_DELTA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对应两点真空变化与过程净变化关系。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提升气体未接入说明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$.mechanism_framework.lift_gas $.data_quality.lift_gas_field_status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当前不固化统一窗口。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表5 后续数据采集与口径确认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$.report_tables.table_5_next_data_requirements $.next_data_requirements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字段通常为field、requirement、purpose。</w:t>
            </w:r>
          </w:p>
        </w:tc>
      </w:tr>
    </w:tbl>
    <w:p/>
    <w:p>
      <w:pPr>
        <w:pStyle w:val="Heading1"/>
        <w:jc w:val="both"/>
      </w:pPr>
      <w:r>
        <w:rPr>
          <w:rFonts w:ascii="宋体" w:hAnsi="宋体" w:eastAsia="宋体"/>
          <w:sz w:val="21"/>
        </w:rPr>
        <w:t>7. 工位差异分析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图5 不同工位出站N分布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$.charts.figure_5_station_boxplot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若用图片显示读取path；若重绘箱线图，从raw_records按DEV_CODE分组计算N4五数。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表6 工位分组统计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$.report_tables.table_6_station_difference $.binned_analysis.DEV_CODE.rows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包含R1、R2、R3、R4。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工位机理说明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$.mechanism_framework.station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设备能力、真空状态、操作习惯和采集口径差异。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表6字段</w:t>
      </w:r>
    </w:p>
    <w:p>
      <w:pPr>
        <w:jc w:val="both"/>
      </w:pPr>
      <w:r>
        <w:rPr>
          <w:rFonts w:ascii="Consolas" w:hAnsi="Consolas" w:eastAsia="Consolas"/>
          <w:color w:val="9C0006"/>
          <w:sz w:val="19"/>
        </w:rPr>
        <w:t>station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sample_count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n2_mean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n4_mean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delta_n_mean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n_change_rate_mean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target_hit_rate_display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devo_wt_mean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break_vacuum_mean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8. 多目标模型调整结果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表7 多目标模型解释力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$.report_tables.table_7_model_summary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若无该节点，从三个target模型节点组装。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图6 2号样N模型重要性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$.charts.figure_6_model_importance_n2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模型数据位于 $.model_analysis.target_n2 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图7 出站N模型重要性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$.charts.figure_7_model_importance_n4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模型数据位于 $.model_analysis.target_n4 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图8 ΔN模型重要性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$.charts.figure_8_model_importance_delta_n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模型数据位于 $.model_analysis.target_delta_n 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$.model_analysis.main_conclusions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与第8章结论段对应。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每个模型节点字段</w:t>
      </w:r>
    </w:p>
    <w:p>
      <w:pPr>
        <w:jc w:val="both"/>
      </w:pPr>
      <w:r>
        <w:rPr>
          <w:rFonts w:ascii="Consolas" w:hAnsi="Consolas" w:eastAsia="Consolas"/>
          <w:color w:val="9C0006"/>
          <w:sz w:val="19"/>
        </w:rPr>
        <w:t>target_code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target_name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algorithm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feature_codes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sample_count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cv_splits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cv_r2_mean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cv_r2_std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permutation_importance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interpretation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jc w:val="both"/>
      </w:pPr>
      <w:r>
        <w:rPr>
          <w:rFonts w:ascii="宋体" w:hAnsi="宋体" w:eastAsia="宋体"/>
          <w:sz w:val="21"/>
        </w:rPr>
        <w:t>变量重要性字段</w:t>
      </w:r>
    </w:p>
    <w:p>
      <w:pPr>
        <w:jc w:val="both"/>
      </w:pPr>
      <w:r>
        <w:rPr>
          <w:rFonts w:ascii="Consolas" w:hAnsi="Consolas" w:eastAsia="Consolas"/>
          <w:color w:val="9C0006"/>
          <w:sz w:val="19"/>
        </w:rPr>
        <w:t>factor_code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factor_name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permutation_importance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importance_std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importance_ratio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importance_ratio_display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9. 最优工艺窗口建议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报告项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窗口提取口径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$.optimal_windows.extraction_basis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包含target_band、n_drop_band、stable_sample_count、core_window、warning_window、note。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图9 控N过程参数建议窗口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$.charts.figure_9_optimal_windows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图数据也可直接取 $.optimal_windows.rows 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表8 最优工艺窗口建议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$.report_tables.table_8_optimal_windows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用于完全复现Word表格。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表9 工程执行建议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$.report_tables.table_9_execution_suggestions $.engineering_execution_suggestions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包含对象、执行建议、执行说明。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表8字段</w:t>
      </w:r>
    </w:p>
    <w:p>
      <w:pPr>
        <w:jc w:val="both"/>
      </w:pPr>
      <w:r>
        <w:rPr>
          <w:rFonts w:ascii="Consolas" w:hAnsi="Consolas" w:eastAsia="Consolas"/>
          <w:color w:val="9C0006"/>
          <w:sz w:val="19"/>
        </w:rPr>
        <w:t>factor_code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control_variable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core_window_p25_p75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warning_window_p10_p90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center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sample_count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p10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p25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p75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p90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9C0006"/>
          <w:sz w:val="19"/>
        </w:rPr>
        <w:t>note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  <w:jc w:val="both"/>
      </w:pPr>
      <w:r>
        <w:rPr>
          <w:rFonts w:ascii="宋体" w:hAnsi="宋体" w:eastAsia="宋体"/>
          <w:sz w:val="21"/>
        </w:rPr>
        <w:t>报告当前关键窗口与JSON定位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控制变量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报告窗口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JSON定位方式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核心74-76；观察73-78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$.optimal_windows.rows 中factor_code=N2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氮化硅锰加料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核心0-10；观察0-20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factor_code=DEVO_WT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2号样时真空度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核心10.12-13.45；观察9.58-13.83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factor_code=N2_VACUUM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破空时真空度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核心12.93-17.44；观察11.97-18.28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factor_code=BREAK_VACUUM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真空度变化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核心0.30-4.75；观察-0.12-5.77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factor_code=VACUUM_DELTA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高真空持续时间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核心7-11分钟；观察6-13.6分钟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factor_code=TIME_SPAN_VALID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提升气体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暂不固化；后台监控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factor_code=LIFT_GAS_HIGH_FREQ，或mechanism_framework.lift_gas</w:t>
            </w:r>
          </w:p>
        </w:tc>
      </w:tr>
    </w:tbl>
    <w:p/>
    <w:p>
      <w:pPr>
        <w:jc w:val="both"/>
      </w:pPr>
      <w:r>
        <w:rPr>
          <w:rFonts w:ascii="宋体" w:hAnsi="宋体" w:eastAsia="宋体"/>
          <w:sz w:val="21"/>
        </w:rPr>
        <w:t>报告展示窗口可能经过工程化取整。完全复现报告文字时，优先使用core_window_p25_p75和warning_window_p10_p90；绘图区间时使用p10、p25、p75、p90数值字段。</w:t>
      </w:r>
    </w:p>
    <w:p>
      <w:pPr>
        <w:pStyle w:val="Heading1"/>
        <w:jc w:val="both"/>
      </w:pPr>
      <w:r>
        <w:rPr>
          <w:rFonts w:ascii="宋体" w:hAnsi="宋体" w:eastAsia="宋体"/>
          <w:sz w:val="21"/>
        </w:rPr>
        <w:t>10. 最终结论</w:t>
      </w:r>
    </w:p>
    <w:p>
      <w:pPr>
        <w:spacing w:before="120" w:after="120"/>
        <w:ind w:left="283" w:right="283"/>
        <w:jc w:val="left"/>
      </w:pPr>
      <w:r>
        <w:rPr>
          <w:rFonts w:ascii="宋体" w:hAnsi="宋体" w:eastAsia="宋体"/>
          <w:sz w:val="21"/>
        </w:rPr>
        <w:t>第10章不是单一JSON节点的机械复制，而是由相关性、模型、机理和窗口结论组合生成。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最终结论组成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JSON具体位置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三目标分析框架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$.mechanism_framework.analysis_targets $.correlation_analysis.main_conclusions[0]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说明N2、N4、ΔN的职责。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氮化硅锰最终结论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$.mechanism_framework.feeding $.correlation_analysis.target_delta_n.rows 中DEVO_WT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说明加料更适合解释为减缓降N速度或补偿N损失。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真空最终结论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$.mechanism_framework.vacuum $.correlation_analysis.main_conclusions[2]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说明压力/读数口径与RH脱气机理。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高真空持续时间结论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$.correlation_analysis.main_conclusions[3]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作为节奏变量，与真空强度、工位和N2联动。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工位结论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$.mechanism_framework.station $.binned_analysis.DEV_CODE.rows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支持按工位和目标N分层。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$.model_analysis.main_conclusions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说明各目标模型解释力和变量作用。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窗口结论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$.optimal_windows.rows $.engineering_execution_suggestions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形成初始观察窗口和执行口径。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首页最终结论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$.report_conclusion_summary.final_conclusions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前端和Word摘要的首选文本来源。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报告图形总索引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图号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 Path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图1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2号样N与出站N时序对比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$.charts.figure_1_time_series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2号样N与出站N散点关系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$.charts.figure_2_scatter_n2_n4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三目标Spearman相关性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$.charts.figure_3_spearman_comparison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加料量分箱与出站N/ΔN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$.charts.figure_4_devo_bin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图5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不同工位出站N分布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$.charts.figure_5_station_boxplot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图6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2号样N模型变量重要性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$.charts.figure_6_model_importance_n2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出站N模型变量重要性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$.charts.figure_7_model_importance_n4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ΔN模型变量重要性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$.charts.figure_8_model_importance_delta_n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图9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控N过程参数建议窗口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$.charts.figure_9_optimal_windows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报告表格总索引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表号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32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JSON Path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表1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数据范围与清洗口径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$.report_tables.table_1_data_scope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核心目标与过程变量统计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$.report_tables.table_2_descriptive_statistics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三个目标下的Spearman相关性对照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$.report_tables.table_3_correlation_comparison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加料分箱结果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$.report_tables.table_4_devo_bin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表5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后续数据采集与口径确认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$.report_tables.table_5_next_data_requirements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表6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工位分组统计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$.report_tables.table_6_station_difference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多目标模型解释力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$.report_tables.table_7_model_summary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最优工艺窗口建议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$.report_tables.table_8_optimal_windows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表9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工程执行建议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$.report_tables.table_9_execution_suggestions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Vue页面章节映射</w:t>
      </w:r>
    </w:p>
    <w:p>
      <w:pPr>
        <w:jc w:val="both"/>
      </w:pPr>
      <w:r>
        <w:rPr>
          <w:rFonts w:ascii="宋体" w:hAnsi="宋体" w:eastAsia="宋体"/>
          <w:sz w:val="21"/>
        </w:rPr>
        <w:t>导航配置：</w:t>
      </w:r>
      <w:r>
        <w:rPr>
          <w:rFonts w:ascii="Consolas" w:hAnsi="Consolas" w:eastAsia="Consolas"/>
          <w:color w:val="9C0006"/>
          <w:sz w:val="19"/>
        </w:rPr>
        <w:t>$.vue_report_view.navigation</w:t>
      </w:r>
      <w:r>
        <w:rPr>
          <w:rFonts w:ascii="宋体" w:hAnsi="宋体" w:eastAsia="宋体"/>
          <w:sz w:val="21"/>
        </w:rPr>
        <w:t>；组件配置：</w:t>
      </w:r>
      <w:r>
        <w:rPr>
          <w:rFonts w:ascii="Consolas" w:hAnsi="Consolas" w:eastAsia="Consolas"/>
          <w:color w:val="9C0006"/>
          <w:sz w:val="19"/>
        </w:rPr>
        <w:t>$.vue_report_view.sections</w:t>
      </w:r>
      <w:r>
        <w:rPr>
          <w:rFonts w:ascii="宋体" w:hAnsi="宋体" w:eastAsia="宋体"/>
          <w:sz w:val="21"/>
        </w:rPr>
        <w:t>；报告章节路径总表：</w:t>
      </w:r>
      <w:r>
        <w:rPr>
          <w:rFonts w:ascii="Consolas" w:hAnsi="Consolas" w:eastAsia="Consolas"/>
          <w:color w:val="9C0006"/>
          <w:sz w:val="19"/>
        </w:rPr>
        <w:t>$.report_sections</w:t>
      </w:r>
      <w:r>
        <w:rPr>
          <w:rFonts w:ascii="宋体" w:hAnsi="宋体" w:eastAsia="宋体"/>
          <w:sz w:val="21"/>
        </w:rPr>
        <w:t>；图表目录：</w:t>
      </w:r>
      <w:r>
        <w:rPr>
          <w:rFonts w:ascii="Consolas" w:hAnsi="Consolas" w:eastAsia="Consolas"/>
          <w:color w:val="9C0006"/>
          <w:sz w:val="19"/>
        </w:rPr>
        <w:t>$.report_visual_index</w:t>
      </w:r>
      <w:r>
        <w:rPr>
          <w:rFonts w:ascii="宋体" w:hAnsi="宋体" w:eastAsia="宋体"/>
          <w:sz w:val="21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章节</w:t>
            </w:r>
          </w:p>
        </w:tc>
        <w:tc>
          <w:tcPr>
            <w:tcW w:type="dxa" w:w="4986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Vue组件建议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报告结论摘要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ReportConclusionSummary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分析目标与模型调整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AnalysisTargets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数据范围与清洗口径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DataQuality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三个分析目标的总体分布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TargetDistribution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过程因子相关性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CorrelationAnalysis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氮化硅锰加料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FeedingAnalysis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真空与提升气体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VacuumAndLiftGas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工位差异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StationAnalysis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多目标模型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MultiTargetModels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最优工艺窗口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OptimalWindows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最终结论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FinalConclusions</w:t>
            </w:r>
          </w:p>
        </w:tc>
      </w:tr>
    </w:tbl>
    <w:p/>
    <w:p>
      <w:pPr>
        <w:pStyle w:val="Heading2"/>
        <w:jc w:val="both"/>
      </w:pPr>
      <w:r>
        <w:rPr>
          <w:rFonts w:ascii="宋体" w:hAnsi="宋体" w:eastAsia="宋体"/>
          <w:sz w:val="21"/>
        </w:rPr>
        <w:t>前端通用使用规则</w:t>
      </w:r>
    </w:p>
    <w:p>
      <w:pPr>
        <w:pStyle w:val="ListBullet"/>
      </w:pPr>
      <w:r>
        <w:rPr>
          <w:rFonts w:ascii="宋体" w:hAnsi="宋体" w:eastAsia="宋体"/>
          <w:sz w:val="21"/>
        </w:rPr>
        <w:t>表格优先使用 $.report_tables ，避免浏览器重新聚合后与Word报告不一致。</w:t>
      </w:r>
    </w:p>
    <w:p>
      <w:pPr>
        <w:pStyle w:val="ListBullet"/>
      </w:pPr>
      <w:r>
        <w:rPr>
          <w:rFonts w:ascii="宋体" w:hAnsi="宋体" w:eastAsia="宋体"/>
          <w:sz w:val="21"/>
        </w:rPr>
        <w:t>图形优先使用 $.charts ；显示已生成图片读取path，ECharts重绘读取data。</w:t>
      </w:r>
    </w:p>
    <w:p>
      <w:pPr>
        <w:pStyle w:val="ListBullet"/>
      </w:pPr>
      <w:r>
        <w:rPr>
          <w:rFonts w:ascii="宋体" w:hAnsi="宋体" w:eastAsia="宋体"/>
          <w:sz w:val="21"/>
        </w:rPr>
        <w:t>因子定位必须使用factor_code，不要固定使用数组下标。</w:t>
      </w:r>
    </w:p>
    <w:p>
      <w:pPr>
        <w:pStyle w:val="ListBullet"/>
      </w:pPr>
      <w:r>
        <w:rPr>
          <w:rFonts w:ascii="宋体" w:hAnsi="宋体" w:eastAsia="宋体"/>
          <w:sz w:val="21"/>
        </w:rPr>
        <w:t>p值显示优先使用spearman_p_display、pearson_p_display。</w:t>
      </w:r>
    </w:p>
    <w:p>
      <w:pPr>
        <w:pStyle w:val="ListBullet"/>
      </w:pPr>
      <w:r>
        <w:rPr>
          <w:rFonts w:ascii="宋体" w:hAnsi="宋体" w:eastAsia="宋体"/>
          <w:sz w:val="21"/>
        </w:rPr>
        <w:t>百分比显示优先使用target_hit_rate_display、importance_ratio_display。</w:t>
      </w:r>
    </w:p>
    <w:p>
      <w:pPr>
        <w:pStyle w:val="ListBullet"/>
      </w:pPr>
      <w:r>
        <w:rPr>
          <w:rFonts w:ascii="宋体" w:hAnsi="宋体" w:eastAsia="宋体"/>
          <w:sz w:val="21"/>
        </w:rPr>
        <w:t>null、NaN、undefined统一显示为“-”或“暂无数据”。</w:t>
      </w:r>
    </w:p>
    <w:p>
      <w:pPr>
        <w:pStyle w:val="ListBullet"/>
      </w:pPr>
      <w:r>
        <w:rPr>
          <w:rFonts w:ascii="宋体" w:hAnsi="宋体" w:eastAsia="宋体"/>
          <w:sz w:val="21"/>
        </w:rPr>
        <w:t>提升气体当前只能显示“后续接入/后台监控/暂不固化”，不能展示伪造窗口。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28282"/>
        <w:sz w:val="17"/>
      </w:rPr>
      <w:t>报告章节与JSON字段映射说明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46464"/>
        <w:sz w:val="18"/>
      </w:rPr>
      <w:t>控N分析报告 JSON结构映射说明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