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P4闭链运动规划完整复现</w:t>
        <w:br/>
        <w:t>原生模型资格与失败根因</w:t>
      </w:r>
    </w:p>
    <w:p>
      <w:pPr>
        <w:pStyle w:val="Subtitle"/>
      </w:pPr>
      <w:r>
        <w:t>2026年10月15日 · 原论文六环境续研阶段结果</w:t>
      </w:r>
    </w:p>
    <w:p>
      <w:r>
        <w:t>我重新核对了原论文八页作者稿、六种环境和三种规划策略，并从作者七个固定源码快照恢复平面20R、双ABB、双Comau及三Comau的原生运动学核。此前未找到的Comau和三臂模型已经获得，现阶段的主要问题转为公开程序的逆解、坐标条件与实际几何一致性。</w:t>
      </w:r>
    </w:p>
    <w:p>
      <w:r>
        <w:t>我完成了600组固定FK输入、五个空间环境合计400次IK分支尝试、平面40次APC调用和六环境合计60次近端点NR输入。另有原端点、不可达、雅可比与有限差分诊断。六环境合计1826项组件检查中1580项通过、246项失败。这些条目具有不同含义和数量，不能折算为规划成功率。</w:t>
      </w:r>
    </w:p>
    <w:p>
      <w:r>
        <w:t>目前没有新的合格全局路径，也没有正式Table I规划试次。原RSS 0/20、PCS与NR各20/20属于此前独立20R模型的历史结果，全部保留；不能混入本次作者环境。完整论文仍部分完成，PCS换链优势、复杂障碍排序和原图表数值尚未得到本次实证。</w:t>
      </w:r>
    </w:p>
    <w:p>
      <w:r>
        <w:t>论文：Avishai Sintov、Andy Borum、Timothy Bretl，Motion Planning of Fully-actuated Closed Kinematic Chains with Revolute Joints: A Comparative Analysis，IEEE RA-L 3(4):2886–2893，2018，DOI 10.1109/LRA.2018.2846806。所读版本为accepted June 2018作者稿，SHA256 193710e5a9d4284cf62b30ff189a1df038a9d5c5ce3f1545525dc2f78bea08c6；未将其冒称已核实的最终出版社PDF。</w:t>
      </w:r>
    </w:p>
    <w:p>
      <w:r>
        <w:br w:type="page"/>
      </w:r>
    </w:p>
    <w:p>
      <w:pPr>
        <w:pStyle w:val="Heading1"/>
      </w:pPr>
      <w:r>
        <w:t>第一部分：原论文模型与三种规划策略</w:t>
      </w:r>
    </w:p>
    <w:p>
      <w:pPr>
        <w:pStyle w:val="Heading2"/>
      </w:pPr>
      <w:r>
        <w:t>1 刚性闭链与可行空间</w:t>
      </w:r>
    </w:p>
    <w:p>
      <w:r>
        <w:t>原文把全驱动转动关节闭链写成构型q和闭合约束C(q)=0。单平面回路有三个独立位姿约束，单空间回路有六个。抓持物体与夹爪被视为刚体的一部分；本论文讨论运动规划，没有验证吸盘柔性、内部力或接触控制。</w:t>
      </w:r>
    </w:p>
    <w:p>
      <w:pPr>
        <w:spacing w:before="60" w:after="140"/>
        <w:jc w:val="center"/>
      </w:pPr>
      <m:oMath>
        <m:sSub>
          <m:e>
            <m:r>
              <m:t>C</m:t>
            </m:r>
          </m:e>
          <m:sub>
            <m:r>
              <m:t>cl</m:t>
            </m:r>
          </m:sub>
        </m:sSub>
        <m:r>
          <m:t>={q∈C:C(q)=0}</m:t>
        </m:r>
      </m:oMath>
      <w:r>
        <w:rPr>
          <w:sz w:val="18"/>
        </w:rPr>
        <w:t xml:space="preserve">    (原式1)</w:t>
      </w:r>
    </w:p>
    <w:p>
      <w:pPr>
        <w:spacing w:before="60" w:after="140"/>
        <w:jc w:val="center"/>
      </w:pPr>
      <m:oMath>
        <m:sSub>
          <m:e>
            <m:r>
              <m:t>C</m:t>
            </m:r>
          </m:e>
          <m:sub>
            <m:r>
              <m:t>o</m:t>
            </m:r>
          </m:sub>
        </m:sSub>
        <m:r>
          <m:t>=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∩</m:t>
        </m:r>
        <m:sSub>
          <m:e>
            <m:r>
              <m:t>C</m:t>
            </m:r>
          </m:e>
          <m:sub>
            <m:r>
              <m:t>free</m:t>
            </m:r>
          </m:sub>
        </m:sSub>
      </m:oMath>
      <w:r>
        <w:rPr>
          <w:sz w:val="18"/>
        </w:rPr>
        <w:t xml:space="preserve">    (原式2)</w:t>
      </w:r>
    </w:p>
    <w:p>
      <w:r>
        <w:t>闭合只解决约束的一部分。限位、机器人自碰撞、物体及障碍碰撞必须单独检查。一个IK或NR接口返回true，不等于它返回的状态属于可行空间。我的组件资格先独立回代几何，再开放碰撞与局部连接；本次没有执行碰撞或规划资格。</w:t>
      </w:r>
    </w:p>
    <w:p>
      <w:pPr>
        <w:pStyle w:val="Heading2"/>
      </w:pPr>
      <w:r>
        <w:t>2 APC与NR投影</w:t>
      </w:r>
    </w:p>
    <w:p>
      <w:r>
        <w:t>APC在每次计算中把非冗余关节子链声明为被动链，其余关节作为主动链采样。空间六关节臂常有肩、肘、腕的多个解析分支。被动只是一种计算划分，不代表机器人存在无驱动关节。所有返回分支仍须经过FK闭合、限位和碰撞验证。</w:t>
      </w:r>
    </w:p>
    <w:p>
      <w:pPr>
        <w:spacing w:before="60" w:after="140"/>
        <w:jc w:val="center"/>
      </w:pPr>
      <m:oMath>
        <m:r>
          <m:t>C(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,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t>)=0,  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t>=IK(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,k)</m:t>
        </m:r>
      </m:oMath>
      <w:r>
        <w:rPr>
          <w:sz w:val="18"/>
        </w:rPr>
        <w:t xml:space="preserve">    (APC计算关系)</w:t>
      </w:r>
    </w:p>
    <w:p>
      <w:r>
        <w:t>NR从环境空间的初值迭代减小全链约束残差，利用雅可比伪逆更新；原文使用KDL和SVD。作者程序常用10000次上限和1e−5逆链求解精度，还包含小角度清零、近似π取模与限位拒绝。这些实现细节需要与物体端的实际闭合分量分别核对。</w:t>
      </w:r>
    </w:p>
    <w:p>
      <w:pPr>
        <w:spacing w:before="60" w:after="140"/>
        <w:jc w:val="center"/>
      </w:pPr>
      <m:oMath>
        <m:sSub>
          <m:e>
            <m:r>
              <m:t>q</m:t>
            </m:r>
          </m:e>
          <m:sub>
            <m:r>
              <m:t>k+1</m:t>
            </m:r>
          </m:sub>
        </m:sSub>
        <m: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−</m:t>
        </m:r>
        <m:sSup>
          <m:e>
            <m:r>
              <m:t>J</m:t>
            </m:r>
          </m:e>
          <m:sup>
            <m:r>
              <m:t>†</m:t>
            </m:r>
          </m:sup>
        </m:sSup>
        <m:r>
          <m:t>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)C(</m:t>
        </m:r>
        <m:sSub>
          <m:e>
            <m:r>
              <m:t>q</m:t>
            </m:r>
          </m:e>
          <m:sub>
            <m:r>
              <m:t>k</m:t>
            </m:r>
          </m:sub>
        </m:sSub>
        <m:r>
          <m:t>)</m:t>
        </m:r>
      </m:oMath>
      <w:r>
        <w:rPr>
          <w:sz w:val="18"/>
        </w:rPr>
        <w:t xml:space="preserve">    (NR基本更新)</w:t>
      </w:r>
    </w:p>
    <w:p>
      <w:pPr>
        <w:pStyle w:val="Heading2"/>
      </w:pPr>
      <w:r>
        <w:t>3 RBS、RSS与PCS</w:t>
      </w:r>
    </w:p>
    <w:p>
      <w:r>
        <w:t>RBS递归投影两端点的中点，再检查左右子段。RSS以gamma概率请求人工奇异构型，通过被动链不同IK分支之间的桥接扩展搜索。PCS则在多个被动划分之间选择具有共同IK分支的局部连接，使原先对某一划分奇异的状态可以在另一划分下连接。</w:t>
      </w:r>
    </w:p>
    <w:p>
      <w:pPr>
        <w:spacing w:before="60" w:after="140"/>
        <w:jc w:val="center"/>
      </w:pPr>
      <m:oMath>
        <m:sSub>
          <m:e>
            <m:r>
              <m:t>q</m:t>
            </m:r>
          </m:e>
          <m:sub>
            <m:r>
              <m:t>mid</m:t>
            </m:r>
          </m:sub>
        </m:sSub>
        <m:r>
          <m:t>=(</m:t>
        </m:r>
        <m:sSub>
          <m:e>
            <m:r>
              <m:t>q</m:t>
            </m:r>
          </m:e>
          <m:sub>
            <m:r>
              <m:t>a</m:t>
            </m:r>
          </m:sub>
        </m:sSub>
        <m:r>
          <m:t>+</m:t>
        </m:r>
        <m:sSub>
          <m:e>
            <m:r>
              <m:t>q</m:t>
            </m:r>
          </m:e>
          <m:sub>
            <m:r>
              <m:t>b</m:t>
            </m:r>
          </m:sub>
        </m:sSub>
        <m:r>
          <m:t>)/2</m:t>
        </m:r>
      </m:oMath>
      <w:r>
        <w:rPr>
          <w:sz w:val="18"/>
        </w:rPr>
        <w:t xml:space="preserve">    (RBS中点)</w:t>
      </w:r>
    </w:p>
    <w:p>
      <w:pPr>
        <w:spacing w:before="60" w:after="140"/>
        <w:jc w:val="center"/>
      </w:pPr>
      <m:oMath>
        <m:r>
          <m:t>rank(∂C/∂</m:t>
        </m:r>
        <m:sSub>
          <m:e>
            <m:r>
              <m:t>q</m:t>
            </m:r>
          </m:e>
          <m:sub>
            <m:r>
              <m:t>p</m:t>
            </m:r>
          </m:sub>
        </m:sSub>
        <m:r>
          <m:t>)&lt;</m:t>
        </m:r>
        <m:sSub>
          <m:e>
            <m:r>
              <m:t>n</m:t>
            </m:r>
          </m:e>
          <m:sub>
            <m:r>
              <m:t>c</m:t>
            </m:r>
          </m:sub>
        </m:sSub>
      </m:oMath>
      <w:r>
        <w:rPr>
          <w:sz w:val="18"/>
        </w:rPr>
        <w:t xml:space="preserve">    (RSS人工奇异条件)</w:t>
      </w:r>
    </w:p>
    <w:p>
      <w:r>
        <w:t>我分别记录搜索树参与的划分和最终解边的划分。树中调用过两种被动划分，并不能证明解路径发生换链。旧PCS的92条解边全部使用p0，因而原先20/20只能证明那些任务可解，不能证明换链优势。</w:t>
      </w:r>
    </w:p>
    <w:p>
      <w:r>
        <w:br w:type="page"/>
      </w:r>
    </w:p>
    <w:p>
      <w:pPr>
        <w:pStyle w:val="Heading1"/>
      </w:pPr>
      <w:r>
        <w:t>4 可见性理论与完整实验范围</w:t>
      </w:r>
    </w:p>
    <w:p>
      <w:pPr>
        <w:spacing w:before="60" w:after="140"/>
        <w:jc w:val="center"/>
      </w:pPr>
      <m:oMath>
        <m:r>
          <m:t>V(q)={q′∈</m:t>
        </m:r>
        <m:sSub>
          <m:e>
            <m:r>
              <m:t>C</m:t>
            </m:r>
          </m:e>
          <m:sub>
            <m:r>
              <m:t>o</m:t>
            </m:r>
          </m:sub>
        </m:sSub>
        <m:r>
          <m:t>:valid_edge(q,q′)}</m:t>
        </m:r>
      </m:oMath>
      <w:r>
        <w:rPr>
          <w:sz w:val="18"/>
        </w:rPr>
        <w:t xml:space="preserve">    (原式3)</w:t>
      </w:r>
    </w:p>
    <w:p>
      <w:pPr>
        <w:spacing w:before="60" w:after="140"/>
        <w:jc w:val="center"/>
      </w:pPr>
      <m:oMath>
        <m:r>
          <m:t>μ(V(q))≤μ(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t>)=μ(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)p</m:t>
        </m:r>
      </m:oMath>
      <w:r>
        <w:rPr>
          <w:sz w:val="18"/>
        </w:rPr>
        <w:t xml:space="preserve">    (原式4)</w:t>
      </w:r>
    </w:p>
    <w:p>
      <w:pPr>
        <w:spacing w:before="60" w:after="140"/>
        <w:jc w:val="center"/>
      </w:pPr>
      <m:oMath>
        <m:sSub>
          <m:e>
            <m:r>
              <m:t>V</m:t>
            </m:r>
          </m:e>
          <m:sub>
            <m:r>
              <m:t>m</m:t>
            </m:r>
          </m:sub>
        </m:sSub>
        <m:r>
          <m:t>(q)⊆∪</m:t>
        </m:r>
        <m:sSub>
          <m:e>
            <m:r>
              <m:t>M</m:t>
            </m:r>
          </m:e>
          <m:sub>
            <m:r>
              <m:t>ki</m:t>
            </m:r>
          </m:sub>
        </m:sSub>
      </m:oMath>
      <w:r>
        <w:rPr>
          <w:sz w:val="18"/>
        </w:rPr>
        <w:t xml:space="preserve">    (原式5)</w:t>
      </w:r>
    </w:p>
    <w:p>
      <w:pPr>
        <w:spacing w:before="60" w:after="140"/>
        <w:jc w:val="center"/>
      </w:pPr>
      <m:oMath>
        <m:sSub>
          <m:e>
            <m:r>
              <m:t>P</m:t>
            </m:r>
          </m:e>
          <m:sub>
            <m:r>
              <m:t>m</m:t>
            </m:r>
          </m:sub>
        </m:sSub>
        <m:r>
          <m:t>=∏(1−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),  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=1/</m:t>
        </m:r>
        <m:sSub>
          <m:e>
            <m:r>
              <m:t>ξ</m:t>
            </m:r>
          </m:e>
          <m:sub>
            <m:r>
              <m:t>k</m:t>
            </m:r>
          </m:sub>
        </m:sSub>
      </m:oMath>
      <w:r>
        <w:rPr>
          <w:sz w:val="18"/>
        </w:rPr>
        <w:t xml:space="preserve">    (原式6，独立划分假设)</w:t>
      </w:r>
    </w:p>
    <w:p>
      <w:pPr>
        <w:spacing w:before="60" w:after="140"/>
        <w:jc w:val="center"/>
      </w:pPr>
      <m:oMath>
        <m:r>
          <m:t>p̃=(1−1/</m:t>
        </m:r>
        <m:sSub>
          <m:e>
            <m:r>
              <m:t>ξ</m:t>
            </m:r>
          </m:e>
          <m:sub>
            <m:r>
              <m:t>i</m:t>
            </m:r>
          </m:sub>
        </m:sSub>
        <m:r>
          <m:t>)/(</m:t>
        </m:r>
        <m:sSub>
          <m:e>
            <m:r>
              <m:t>ξ</m:t>
            </m:r>
          </m:e>
          <m:sub>
            <m:r>
              <m:t>j</m:t>
            </m:r>
          </m:sub>
        </m:sSub>
        <m:r>
          <m:t>−</m:t>
        </m:r>
        <m:sSub>
          <m:e>
            <m:r>
              <m:t>ξ</m:t>
            </m:r>
          </m:e>
          <m:sub>
            <m:r>
              <m:t>ij</m:t>
            </m:r>
          </m:sub>
        </m:sSub>
        <m:r>
          <m:t>)</m:t>
        </m:r>
      </m:oMath>
      <w:r>
        <w:rPr>
          <w:sz w:val="18"/>
        </w:rPr>
        <w:t xml:space="preserve">    (保留原式7)</w:t>
      </w:r>
    </w:p>
    <w:p>
      <w:pPr>
        <w:spacing w:before="60" w:after="140"/>
        <w:jc w:val="center"/>
      </w:pPr>
      <m:oMath>
        <m:sSub>
          <m:e>
            <m:r>
              <m:t>P</m:t>
            </m:r>
          </m:e>
          <m:sub>
            <m:r>
              <m:t>m</m:t>
            </m:r>
          </m:sub>
        </m:sSub>
        <m:r>
          <m:t>=∏(1−</m:t>
        </m:r>
        <m:sSub>
          <m:e>
            <m:r>
              <m:t>p</m:t>
            </m:r>
          </m:e>
          <m:sub>
            <m:r>
              <m:t>k</m:t>
            </m:r>
          </m:sub>
        </m:sSub>
        <m:r>
          <m:t>)∏(1−p̃k)</m:t>
        </m:r>
      </m:oMath>
      <w:r>
        <w:rPr>
          <w:sz w:val="18"/>
        </w:rPr>
        <w:t xml:space="preserve">    (原式8，原假设适用时)</w:t>
      </w:r>
    </w:p>
    <w:p>
      <w:pPr>
        <w:spacing w:before="60" w:after="140"/>
        <w:jc w:val="center"/>
      </w:pPr>
      <m:oMath>
        <m:r>
          <m:t>μ(</m:t>
        </m:r>
        <m:sSub>
          <m:e>
            <m:r>
              <m:t>V</m:t>
            </m:r>
          </m:e>
          <m:sub>
            <m:r>
              <m:t>m</m:t>
            </m:r>
          </m:sub>
        </m:sSub>
        <m:r>
          <m:t>(q))≤(1−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t>)μ(</m:t>
        </m:r>
        <m:sSub>
          <m:e>
            <m:r>
              <m:t>C</m:t>
            </m:r>
          </m:e>
          <m:sub>
            <m:r>
              <m:t>cl</m:t>
            </m:r>
          </m:sub>
        </m:sSub>
        <m:r>
          <m:t>)</m:t>
        </m:r>
      </m:oMath>
      <w:r>
        <w:rPr>
          <w:sz w:val="18"/>
        </w:rPr>
        <w:t xml:space="preserve">    (原式9)</w:t>
      </w:r>
    </w:p>
    <w:p>
      <w:r>
        <w:t>这些是有适用假设的上界，不是碰撞环境中的精确成功率。独立枚举共享腕2种、左右肘各4种的32个分支标签时，两划分并集占7/32，条件概率P(B同分支|A不同分支)为3/28；原式7在该例取7/32。这里暴露的是文字条件概率标签与并集数值的语义区别，我保留原式，没有据此改PCS，也没有把抽象标签均匀分布当作实际流形测度。三臂多回路的分析还需要两个被动臂共同满足分支连接条件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原环境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作者资源/机构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本次实际层级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planar_ckc；20R、19个单位杆、末端(7,4)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原生APC/KDL与独立SE(2)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CKCplanning；双ABB，基距900mm、杆300mm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原生FK/IK/NR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同双ABB，基距1200mm、杆500mm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原生FK/IK/NR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ckcComau2；双Comau、杆1800mm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原生FK/IK/NR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ckcComau工业分支；吸盘搬箱原刚抓变换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原生FK/IK/NR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VI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ckcComau3；三臂、18关节、两闭合回路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原生FK/IK/顺序NR与RSS编译诊断</w:t>
            </w:r>
          </w:p>
        </w:tc>
      </w:tr>
    </w:tbl>
    <w:p>
      <w:pPr>
        <w:spacing w:after="0"/>
      </w:pPr>
    </w:p>
    <w:p>
      <w:r>
        <w:t>完整覆盖表现有30个父义务、211个追踪入口。Fig.3下图要求全部m=1…20；空间Table I有45单元、每单元500次与1000s截断，共22500调用，最坏6250核小时。APC/NR各500000投影、可见性50000合法点对、Fig.5、去障碍和固定划分消融均保留，尚未运行的项目未填零值。作者各raw文件与最终论文图表的生产链仍待核实。</w:t>
      </w:r>
    </w:p>
    <w:p>
      <w:r>
        <w:br w:type="page"/>
      </w:r>
    </w:p>
    <w:p>
      <w:pPr>
        <w:pStyle w:val="Heading1"/>
      </w:pPr>
      <w:r>
        <w:t>第二部分：六环境真实组件资格</w:t>
      </w:r>
    </w:p>
    <w:p>
      <w:pPr>
        <w:pStyle w:val="Heading2"/>
      </w:pPr>
      <w:r>
        <w:t>5 输入、单位与独立验证</w:t>
      </w:r>
    </w:p>
    <w:p>
      <w:r>
        <w:t>作者源码和网格在仓库外固定保存，1194个文件有哈希；本项目公开独立驱动、配置与运行日志。平面末轴保持作者[0,2PI_]坐标，KDL末关节为PI_−q19，不能改成普通20角求和。平面长度记源杆长单位；空间源为mm，旋转矩阵误差无量纲。雅可比SVD只按预声明行缩放判秩，不把不同单位物理误差混成总范数。</w:t>
      </w:r>
    </w:p>
    <w:p>
      <w:r>
        <w:t>R1总额度1800s、单构建/诊断120s；seed为20261014，Comau分别使用预声明的模型派生stream。所有输入固定，无拒绝后挑种子。原端点保持原字面精度，仅诊断，不以投影或重置后状态替代原点。编译中的名称/头文件问题有两个独立工程修正及首失败日志，作者算法字节不变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  <w:cantSplit/>
        </w:trPr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环境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通过项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失败项</w:t>
            </w:r>
          </w:p>
        </w:tc>
        <w:tc>
          <w:tcPr>
            <w:tcW w:type="dxa" w:w="2409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8"/>
              </w:rPr>
              <w:t>实际结论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176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292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56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III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294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IV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234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V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34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  <w:tr>
        <w:trPr>
          <w:cantSplit/>
        </w:trPr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VI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347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2409"/>
          </w:tcPr>
          <w:p>
            <w:pPr>
              <w:spacing w:after="60" w:line="250" w:lineRule="auto"/>
            </w:pPr>
            <w:r>
              <w:rPr>
                <w:b w:val="0"/>
                <w:sz w:val="18"/>
              </w:rPr>
              <w:t>组件资格未通过</w:t>
            </w:r>
          </w:p>
        </w:tc>
      </w:tr>
    </w:tbl>
    <w:p>
      <w:pPr>
        <w:spacing w:after="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0923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alification_cou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真实检查条目数；各环境条目构成不同，不能作为算法规划成功率。</w:t>
      </w:r>
    </w:p>
    <w:p>
      <w:pPr>
        <w:pStyle w:val="Heading2"/>
      </w:pPr>
      <w:r>
        <w:t>6 原生FK与独立几何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8253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k_independent_err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5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相同保存输入的作者FK与独立串联变换之差；平面与空间单位分列。</w:t>
      </w:r>
    </w:p>
    <w:p>
      <w:r>
        <w:t>双ABB各100个末端对照通过，最大平移差在10⁻¹³mm量级。Comau IV/V各100组双臂向量的200个末端对照全部通过，最大平移差约1.82×10⁻¹²mm。VI少数旋转矩阵元素被原FK的1e−4清零处理影响，出现旋转矩阵门外差，不能仅看平移一致就认定所有FK合格。作者只暴露末端FK，独立程序保存的中间段不冒充作者逐段读数。</w:t>
      </w:r>
    </w:p>
    <w:p>
      <w:r>
        <w:br w:type="page"/>
      </w:r>
    </w:p>
    <w:p>
      <w:pPr>
        <w:pStyle w:val="Heading1"/>
      </w:pPr>
      <w:r>
        <w:t>7 APC与解析IK的真实回代失败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0453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k_roundtrip_err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5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原生IK返回true的分支回代误差。未返回的分支仍留在CSV分母中；图中仅展示有返回误差的点。</w:t>
      </w:r>
    </w:p>
    <w:p>
      <w:r>
        <w:t>ABB每环境80个分支尝试有44个原生接受；这些接受输出的回代平移误差约0.00098–0.00421mm，全部未过固定1e−5mm门。角度偏差与PI_=3.1416参与半角、肩回转及取模有关。对全部44个保存输出，无拟合的几何预测与实际误差最大相差约2.27×10⁻¹³mm，因此不是根据一次失败猜测精度原因。</w:t>
      </w:r>
    </w:p>
    <w:p>
      <w:r>
        <w:t>Comau不只有微小π误差。IV固定样本0的signed radius被平方和正根丢失后，出现945.58mm回代差；样本6的余弦象限丢失产生约93.80mm差。V还出现约32.96mm和339.80mm反例。保存状态的腕心方程可以统一解释这些差，前肩分支预测与原日志最大差分别约8.95×10⁻¹³mm和7.33×10⁻¹²mm。原生FK与独立FK一致，作者自身FK回代也有同量级错误；不能把这些大差归为本项目换了坐标系。</w:t>
      </w:r>
    </w:p>
    <w:p>
      <w:pPr>
        <w:spacing w:before="60" w:after="140"/>
        <w:jc w:val="center"/>
      </w:pPr>
      <m:oMath>
        <m:r>
          <m:t>r=A sin(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)+B cos(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),  z=A cos(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)−B sin(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t>)</m:t>
        </m:r>
      </m:oMath>
      <w:r>
        <w:rPr>
          <w:sz w:val="18"/>
        </w:rPr>
        <w:t xml:space="preserve">    (保存关节的独立腕心关系)</w:t>
      </w:r>
    </w:p>
    <w:p>
      <w:r>
        <w:t>上述反例是数学资格，不是原规划分布下的APC成功率。当前驱动覆盖作者关节范围，包含多圈轴；不能据此填写原文500000投影的7.92%或性能倍数。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946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nar_apc_clos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6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原平面起点在20划分×2分支中的实际APC闭合误差，长度为源杆长单位。</w:t>
      </w:r>
    </w:p>
    <w:p>
      <w:r>
        <w:br w:type="page"/>
      </w:r>
    </w:p>
    <w:p>
      <w:pPr>
        <w:pStyle w:val="Heading1"/>
      </w:pPr>
      <w:r>
        <w:t>8 NR内部残差与真实刚抓闭合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04243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r_rigid_clos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2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返回NR状态的独立物理闭合分量。三臂取两回路较大分量；原生返回false保留为缺测，不补零。</w:t>
      </w:r>
    </w:p>
    <w:p>
      <w:r>
        <w:t>ABB的逆链内部求解与实际双臂闭合存在固定基座方位差：APC基座用3.1416，逆链目标隐含精确π。II另外两条还受到返回后1e−4rad清零影响。同一保存状态的矩阵恒等式能把基座项与内部残差分开，不能用逆链一个小数值代替物体端闭合。</w:t>
      </w:r>
    </w:p>
    <w:p>
      <w:r>
        <w:t>Comau IV十个输入有七个返回true，三个false的原始KDL ret与限位阶段未记录，归因仍UNKNOWN；V十个均返回true。17个returned状态的逆链内部平移目标差不超过约1.82×10⁻¹²mm，但物理闭合仍未过门。近似基座方位、精确置换目标与小角残差乘长杆的项共同解释保存误差；不能把一切归为截零或直接改环境方位。</w:t>
      </w:r>
    </w:p>
    <w:p>
      <w:r>
        <w:t>VI公开默认NR先投影12维臂1–2，再对第三臂做单臂NR，并非默认18维同时求解。当前仅按该原生版本保存组件读数，未把它写成论文完整多闭环方法验证。</w:t>
      </w:r>
    </w:p>
    <w:p>
      <w:r>
        <w:br w:type="page"/>
      </w:r>
    </w:p>
    <w:p>
      <w:pPr>
        <w:pStyle w:val="Heading1"/>
      </w:pPr>
      <w:r>
        <w:t>9 RSS真实奇异条件与三臂程序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29254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ss_rank_witnes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54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同一ABB固定fixture的原生FK中央差分奇异值；行缩放用于秩诊断，不是物理误差范数。</w:t>
      </w:r>
    </w:p>
    <w:p>
      <w:r>
        <w:t>原ABB sampleSingular把q3=−PI_/2称为肘奇异，但原几何有70mm偏置。作者FK真实差分与独立解析Jacobian均得到rank6，最小缩放奇异值0.02495；仅把q5设零时双方rank5。原文的RSS要求被动Jacobian秩缺陷，公开程序的固定角不等于该条件。改变这个采样集合需要明确的新版本；我尚未执行修改后的RSS。</w:t>
      </w:r>
    </w:p>
    <w:p>
      <w:pPr>
        <w:spacing w:before="60" w:after="140"/>
        <w:jc w:val="center"/>
      </w:pPr>
      <m:oMath>
        <m:r>
          <m:t>α=atan2(302,70),  sin(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t>+α)=0</m:t>
        </m:r>
      </m:oMath>
      <w:r>
        <w:rPr>
          <w:sz w:val="18"/>
        </w:rPr>
        <w:t xml:space="preserve">    (ABB肘奇异几何条件)</w:t>
      </w:r>
    </w:p>
    <w:p>
      <w:r>
        <w:t>VI RSS在隔离头路径和非可视依赖之后进行真实编译，仍报两臂接口遗留、未定义q3/dsg2和递归参数不符。原RSS正文与采样机制未改。这是取得的公开实现不完整的证据，不能据此推断RSS理论不适用于三臂，也不能跳过VI或以双臂实验替代。</w:t>
      </w:r>
    </w:p>
    <w:p>
      <w:r>
        <w:br w:type="page"/>
      </w:r>
    </w:p>
    <w:p>
      <w:pPr>
        <w:pStyle w:val="Heading1"/>
      </w:pPr>
      <w:r>
        <w:t>10 与原文对应的实际范围及待验证结论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  <w:cantSplit/>
        </w:trPr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原文内容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本次证据</w:t>
            </w:r>
          </w:p>
        </w:tc>
        <w:tc>
          <w:tcPr>
            <w:tcW w:type="dxa" w:w="3213"/>
            <w:shd w:fill="E8EFF4"/>
          </w:tcPr>
          <w:p>
            <w:pPr>
              <w:spacing w:after="60" w:line="250" w:lineRule="auto"/>
            </w:pPr>
            <w:r>
              <w:rPr>
                <w:b/>
                <w:sz w:val="16"/>
              </w:rPr>
              <w:t>当前状态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六环境模型/源输入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全部来源、原生核构建与固定输入读数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模型核部分完成；碰撞/路径未资格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APC/NR投影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有限回代和近端点输入，保留真实失败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组件未通过；500000正式投影未做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RSS奇异跨分支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固定Jacobian反例及VI原生编译失败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未得到新合法随机目标/全局路径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PCS划分与换链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旧解92边全p0；新原生APC资格失败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复杂障碍/固定划分消融未开放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Fig3–5、TableI–II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30父义务/211入口、完整45cell保留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正式性能结果未执行</w:t>
            </w:r>
          </w:p>
        </w:tc>
      </w:tr>
      <w:tr>
        <w:trPr>
          <w:cantSplit/>
        </w:trPr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无障碍/多闭环/分布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作者源已找回，后续协议问题明确</w:t>
            </w:r>
          </w:p>
        </w:tc>
        <w:tc>
          <w:tcPr>
            <w:tcW w:type="dxa" w:w="3213"/>
          </w:tcPr>
          <w:p>
            <w:pPr>
              <w:spacing w:after="60" w:line="250" w:lineRule="auto"/>
            </w:pPr>
            <w:r>
              <w:rPr>
                <w:b w:val="0"/>
                <w:sz w:val="16"/>
              </w:rPr>
              <w:t>没有新成功率、排序或分布结论</w:t>
            </w:r>
          </w:p>
        </w:tc>
      </w:tr>
    </w:tbl>
    <w:p>
      <w:pPr>
        <w:spacing w:after="0"/>
      </w:pPr>
    </w:p>
    <w:p>
      <w:r>
        <w:t>当前可确认的是公开实现存在可定位的精度、象限和数值坐标问题；这些问题已通过独立FK、解析Jacobian、保存状态的代数回放及真实编译交叉验证。它们不等于论文RSS/PCS/NR理论错误。原生产代码版本、精确未截断端点和raw到最终图表的链条仍需核查。</w:t>
      </w:r>
    </w:p>
    <w:p>
      <w:r>
        <w:t>下一步先区分工程数值一致修复与科学采样集合变更。候选修复保持原基座、抓持、原字面端点和成功门，重新推导完整IK象限关系与相同物理闭合的NR目标；RSS和VI的重建路线另有明确裁决点。原生版本和本轮失败全部保留，不追写为修复后通过。</w:t>
      </w:r>
    </w:p>
    <w:p>
      <w:pPr>
        <w:pStyle w:val="Heading2"/>
      </w:pPr>
      <w:r>
        <w:t>与我当前双FR3课题的证据边界</w:t>
      </w:r>
    </w:p>
    <w:p>
      <w:r>
        <w:t>现阶段没有新增的合格空间规划路径，因此尚不能把PCS复杂障碍优势或RSS跨分支能力列为我方双FR3方法选择依据。现有NR/RBS离线工程证据与本次ABB/Comau组件诊断属于不同模型，仍须分开。7R冗余、吸盘柔性与刚抓假设、共同搬运和单臂推入的拓扑差异，保留为全文实证完成后逐方法分析的问题。此次没有进行Isaac或现有FR3场景改造。</w:t>
      </w:r>
    </w:p>
    <w:p>
      <w:pPr>
        <w:pStyle w:val="Heading2"/>
      </w:pPr>
      <w:r>
        <w:t>数据和复核入口</w:t>
      </w:r>
    </w:p>
    <w:p>
      <w:r>
        <w:t>原始目录：results/p4_full/20261014T1528_R1_ABB01、20261014T1545_R1_COMAU02、20261014T1550_R1_VI03、20261014T1555_R1_PLANAR01；首编失败与RSS三臂编译另有独立run_id。图表只读取对应*_independent.json，分支拒绝、非合格输出和诊断原端点均保留。</w:t>
      </w:r>
    </w:p>
    <w:p>
      <w:r>
        <w:t>完整清单：reports/p4_full_audit/ORIGINAL_FULL_COVERAGE_MATRIX_v3.csv；阶段实测覆盖另列reports/P4_FULL_R1_ORIGINAL_VS_REPRODUCED_COVERAGE.csv。源、协议、输入、命令、编译器输出和独立矩阵均有可复核记录；本阶段不以未执行项作论文最终结题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原生模型组件证据 · 完整论文仍部分完成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P4 闭链运动规划  |  原作者六环境模型资格与失败复核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40"/>
      <w:outlineLvl w:val="0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03F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140"/>
      <w:outlineLvl w:val="1"/>
    </w:pPr>
    <w:rPr>
      <w:rFonts w:asciiTheme="majorHAnsi" w:eastAsiaTheme="majorEastAsia" w:hAnsiTheme="majorHAnsi" w:cstheme="majorBidi" w:ascii="Noto Serif CJK SC" w:hAnsi="Noto Serif CJK SC" w:eastAsia="Noto Serif CJK SC"/>
      <w:b/>
      <w:bCs/>
      <w:color w:val="203F5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 CJK SC" w:hAnsi="Noto Serif CJK SC" w:eastAsia="Noto Serif CJK SC"/>
      <w:color w:val="203F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erif CJK SC" w:hAnsi="Noto Serif CJK SC" w:eastAsia="Noto Serif CJK SC"/>
      <w:i/>
      <w:iCs/>
      <w:color w:val="203F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erif CJK SC" w:hAnsi="Noto Serif CJK SC" w:eastAsia="Noto Serif CJK SC"/>
      <w:b/>
      <w:bCs/>
      <w:color w:val="203F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P4完整复现：原生模型资格与失败根因</dc:title>
  <dc:subject>六环境真实运动学/投影资格；不含新的全局规划性能结果</dc:subject>
  <dc:creator>双机械臂协调操作复现项目</dc:creator>
  <cp:keywords>P4,RSS,PCS,NR,ABB,Comau,20R,独立资格,失败根因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