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P4闭链规划算法与完整虚拟仿真研究报告</w:t>
      </w:r>
    </w:p>
    <w:p>
      <w:r>
        <w:t>RSS、PCS、NR 与 RBS 的数学复现和独立数值验证</w:t>
        <w:br/>
        <w:t>2026年10月22日</w:t>
      </w:r>
    </w:p>
    <w:p>
      <w:pPr>
        <w:pStyle w:val="Heading1"/>
      </w:pPr>
      <w:r>
        <w:t>研究结果概述</w:t>
      </w:r>
    </w:p>
    <w:p>
      <w:r>
        <w:t>我研究了全驱动转动关节闭链的采样规划问题，并在带关节限位、自碰撞和圆形障碍的20R重建机构上完成了从起点到终点的规划。程序实际执行解析逆运动学、牛顿投影、递归二分局部连接和双向树搜索，保存完整轨迹及失败记录；独立程序使用另一套几何计算复算成功轨迹。这里的完整性指一套端到端虚拟任务，原论文全部空间环境和统计规模仍只得到部分复现。</w:t>
      </w:r>
    </w:p>
    <w:p>
      <w:r>
        <w:t>五个预定种子在两类障碍中共形成50次规划。每个环境中，NR成功5/5，PCS全分划成功3/5，兼容的固定分划0成功5/5，固定分划16和RSS均为0/5。当前任务没有显示PCS相对NR或兼容固定分划的优势。E0和E1的成功判定相同，增加障碍未形成足以区分方法的有效困难条件。</w:t>
      </w:r>
    </w:p>
    <w:p>
      <w:r>
        <w:t>空间环境中复用了已保存的合格路径：环境II有四条早期路径及一条SBL路径，环境III保存649点路径。III最终解中的主动臂角色发生4次切换，但所有649点仍存在原生TCP与重建碰撞位姿差异。空间证据只支持明确标注的aligned离散碰撞策略，不能据此认证原作者原生几何或连续扫掠安全。</w:t>
      </w:r>
    </w:p>
    <w:p>
      <w:pPr>
        <w:pStyle w:val="Heading2"/>
      </w:pPr>
      <w:r>
        <w:t>原论文与实现身份</w:t>
      </w:r>
    </w:p>
    <w:p>
      <w:r>
        <w:t>Avishai Sintov、Andy Borum、Timothy Bretl，Motion Planning of Fully Actuated Closed Kinematic Chains With Revolute Joints A Comparative Analysis，IEEE Robotics and Automation Letters，3卷4期，2886–2893，2018。DOI 10.1109/LRA.2018.2846806。原文阅读副本为8页作者稿，SHA256为193710e5a9d4284cf62b30ff189a1df038a9d5c5ce3f1545525dc2f78bea08c6。</w:t>
      </w:r>
    </w:p>
    <w:p>
      <w:r>
        <w:t>本文将原论文定义与机制标为ORIGINAL，将同类20R机构、胶囊碰撞和有限预算的独立重建标为RECONSTRUCTED，将软件修补标为ENGINEERING。单元奇异桥、统计试验和未来FR3设想分别标明证据层级，不把预设夹具视为随机规划成功。</w:t>
      </w:r>
    </w:p>
    <w:p>
      <w:r>
        <w:br w:type="page"/>
      </w:r>
    </w:p>
    <w:p>
      <w:pPr>
        <w:pStyle w:val="Heading1"/>
      </w:pPr>
      <w:r>
        <w:t>1 闭链约束与牛顿投影</w:t>
      </w:r>
    </w:p>
    <w:p>
      <w:r>
        <w:t>原论文式1–2将规划问题分为运动学闭合与有效性两层。设关节变量q属于n维构型空间，C(q)为闭链残差。平面单环有3个独立约束，空间单环通常有6个。关节限位、机器人自碰撞及外部障碍共同决定自由空间。</w:t>
      </w:r>
    </w:p>
    <w:p>
      <w:pPr>
        <w:spacing w:before="40" w:after="80"/>
        <w:jc w:val="center"/>
      </w:pPr>
      <m:oMath>
        <m:sSub>
          <m:e>
            <m:r>
              <m:t>C</m:t>
            </m:r>
          </m:e>
          <m:sub>
            <m:r>
              <m:t>cl</m:t>
            </m:r>
          </m:sub>
        </m:sSub>
        <m:r>
          <m:t> = {q ∈ 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t> : C(q) = 0},   </m:t>
        </m:r>
        <m:sSub>
          <m:e>
            <m:r>
              <m:t>C</m:t>
            </m:r>
          </m:e>
          <m:sub>
            <m:r>
              <m:t>o</m:t>
            </m:r>
          </m:sub>
        </m:sSub>
        <m:r>
          <m:t> = </m:t>
        </m:r>
        <m:sSub>
          <m:e>
            <m:r>
              <m:t>C</m:t>
            </m:r>
          </m:e>
          <m:sub>
            <m:r>
              <m:t>cl</m:t>
            </m:r>
          </m:sub>
        </m:sSub>
        <m:r>
          <m:t> ∩ </m:t>
        </m:r>
        <m:sSub>
          <m:e>
            <m:r>
              <m:t>C</m:t>
            </m:r>
          </m:e>
          <m:sub>
            <m:r>
              <m:t>free</m:t>
            </m:r>
          </m:sub>
        </m:sSub>
      </m:oMath>
      <w:r>
        <w:t xml:space="preserve">   (1)</w:t>
      </w:r>
    </w:p>
    <w:p>
      <w:pPr>
        <w:spacing w:before="40" w:after="80"/>
        <w:jc w:val="center"/>
      </w:pPr>
      <m:oMath>
        <m:r>
          <m:t>α : [0,1] → </m:t>
        </m:r>
        <m:sSub>
          <m:e>
            <m:r>
              <m:t>C</m:t>
            </m:r>
          </m:e>
          <m:sub>
            <m:r>
              <m:t>o</m:t>
            </m:r>
          </m:sub>
        </m:sSub>
        <m:r>
          <m:t>,   α(0) = </m:t>
        </m:r>
        <m:sSub>
          <m:e>
            <m:r>
              <m:t>q</m:t>
            </m:r>
          </m:e>
          <m:sub>
            <m:r>
              <m:t>s</m:t>
            </m:r>
          </m:sub>
        </m:sSub>
        <m:r>
          <m:t>,   α(1) = </m:t>
        </m:r>
        <m:sSub>
          <m:e>
            <m:r>
              <m:t>q</m:t>
            </m:r>
          </m:e>
          <m:sub>
            <m:r>
              <m:t>g</m:t>
            </m:r>
          </m:sub>
        </m:sSub>
      </m:oMath>
      <w:r>
        <w:t xml:space="preserve">   (2)</w:t>
      </w:r>
    </w:p>
    <w:p>
      <w:r>
        <w:t>对平面机构，令θ_i为前i个相对关节角的累加，ℓ_i为连杆长度。末端位置是每个连杆位移之和，末端角由全部转动关节决定。本模型19个移动杆及第20个零长度转动法兰共同构成闭链；固定地杆连接两个基座。</w:t>
      </w:r>
    </w:p>
    <w:p>
      <w:pPr>
        <w:spacing w:before="40" w:after="80"/>
        <w:jc w:val="center"/>
      </w:pP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t> = </m:t>
        </m:r>
        <m:nary>
          <m:naryPr>
            <m:chr m:val="∑"/>
            <m:limLoc m:val="subSup"/>
          </m:naryPr>
          <m:sub>
            <m:r>
              <m:t>j=1</m:t>
            </m:r>
          </m:sub>
          <m:sup>
            <m:r>
              <m:t>i</m:t>
            </m:r>
          </m:sup>
          <m:e>
            <m:sSub>
              <m:e>
                <m:r>
                  <m:t>q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  (3)</w:t>
      </w:r>
    </w:p>
    <w:p>
      <w:pPr>
        <w:spacing w:before="40" w:after="80"/>
        <w:jc w:val="center"/>
      </w:pPr>
      <m:oMath>
        <m:r>
          <m:t>x = </m:t>
        </m:r>
        <m:nary>
          <m:naryPr>
            <m:chr m:val="∑"/>
            <m:limLoc m:val="subSup"/>
          </m:naryPr>
          <m:sub>
            <m:r>
              <m:t>i=1</m:t>
            </m:r>
          </m:sub>
          <m:sup>
            <m:r>
              <m:t>19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  <m:r>
              <m:t> cos 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e>
        </m:nary>
        <m:r>
          <m:t>,   y = </m:t>
        </m:r>
        <m:nary>
          <m:naryPr>
            <m:chr m:val="∑"/>
            <m:limLoc m:val="subSup"/>
          </m:naryPr>
          <m:sub>
            <m:r>
              <m:t>i=1</m:t>
            </m:r>
          </m:sub>
          <m:sup>
            <m:r>
              <m:t>19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  <m:r>
              <m:t> sin 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e>
        </m:nary>
      </m:oMath>
    </w:p>
    <w:p>
      <w:pPr>
        <w:spacing w:before="40" w:after="80"/>
        <w:jc w:val="center"/>
      </w:pPr>
      <m:oMath>
        <m:r>
          <m:t>C(q) = </m:t>
        </m:r>
        <m:sSup>
          <m:e>
            <m:r>
              <m:t>[x − 1, y, wrap(</m:t>
            </m:r>
            <m:nary>
              <m:naryPr>
                <m:chr m:val="∑"/>
                <m:limLoc m:val="subSup"/>
              </m:naryPr>
              <m:sub>
                <m:r>
                  <m:t>j=1</m:t>
                </m:r>
              </m:sub>
              <m:sup>
                <m:r>
                  <m:t>20</m:t>
                </m:r>
              </m:sup>
              <m:e>
                <m:sSub>
                  <m:e>
                    <m:r>
                      <m:t>q</m:t>
                    </m:r>
                  </m:e>
                  <m:sub>
                    <m:r>
                      <m:t>j</m:t>
                    </m:r>
                  </m:sub>
                </m:sSub>
              </m:e>
            </m:nary>
            <m:r>
              <m:t>)]</m:t>
            </m:r>
          </m:e>
          <m:sup>
            <m:r>
              <m:t>T</m:t>
            </m:r>
          </m:sup>
        </m:sSup>
      </m:oMath>
      <w:r>
        <w:t xml:space="preserve">   (4)</w:t>
      </w:r>
    </w:p>
    <w:p>
      <w:r>
        <w:t>对第j个关节求偏导，只需累加其后连杆的切向位移。零长度末端关节对位置导数为零，对角度导数仍为1。解析雅可比与独立中心差分的既有四样本最大绝对差为1.708×10⁻¹⁰。</w:t>
      </w:r>
    </w:p>
    <w:p>
      <w:pPr>
        <w:spacing w:before="40" w:after="80"/>
        <w:jc w:val="center"/>
      </w:pPr>
      <m:oMath>
        <m:sSub>
          <m:e>
            <m:r>
              <m:t>J</m:t>
            </m:r>
          </m:e>
          <m:sub>
            <m:r>
              <m:t>x,j</m:t>
            </m:r>
          </m:sub>
        </m:sSub>
        <m:r>
          <m:t> = −</m:t>
        </m:r>
        <m:nary>
          <m:naryPr>
            <m:chr m:val="∑"/>
            <m:limLoc m:val="subSup"/>
          </m:naryPr>
          <m:sub>
            <m:r>
              <m:t>i=j</m:t>
            </m:r>
          </m:sub>
          <m:sup>
            <m:r>
              <m:t>19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  <m:r>
              <m:t> sin 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e>
        </m:nary>
        <m:r>
          <m:t>,   </m:t>
        </m:r>
        <m:sSub>
          <m:e>
            <m:r>
              <m:t>J</m:t>
            </m:r>
          </m:e>
          <m:sub>
            <m:r>
              <m:t>y,j</m:t>
            </m:r>
          </m:sub>
        </m:sSub>
        <m:r>
          <m:t> = </m:t>
        </m:r>
        <m:nary>
          <m:naryPr>
            <m:chr m:val="∑"/>
            <m:limLoc m:val="subSup"/>
          </m:naryPr>
          <m:sub>
            <m:r>
              <m:t>i=j</m:t>
            </m:r>
          </m:sub>
          <m:sup>
            <m:r>
              <m:t>19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  <m:r>
              <m:t> cos 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  (5)</w:t>
      </w:r>
    </w:p>
    <w:p>
      <w:pPr>
        <w:spacing w:before="40" w:after="80"/>
        <w:jc w:val="center"/>
      </w:pPr>
      <m:oMath>
        <m:sSub>
          <m:e>
            <m:r>
              <m:t>J</m:t>
            </m:r>
          </m:e>
          <m:sub>
            <m:r>
              <m:t>θ,j</m:t>
            </m:r>
          </m:sub>
        </m:sSub>
        <m:r>
          <m:t> = 1;   j = 1, …, 20</m:t>
        </m:r>
      </m:oMath>
    </w:p>
    <w:p>
      <w:pPr>
        <w:pStyle w:val="Heading2"/>
      </w:pPr>
      <w:r>
        <w:t>1.1 SVD伪逆更新</w:t>
      </w:r>
    </w:p>
    <w:p>
      <w:r>
        <w:t>在迭代点线性化C(q+Δq)≈C(q)+JΔq，取最小范数校正Δq=−J†C。SVD写为J=UΣVᵀ，低于max(10⁻¹²,10⁻¹⁰σ_max)的奇异值不取倒数。每一步保留残差、秩、奇异值和更新量；位置与角度分别以10⁻⁸ m和10⁻⁸ rad验收。</w:t>
      </w:r>
    </w:p>
    <w:p>
      <w:pPr>
        <w:spacing w:before="40" w:after="80"/>
        <w:jc w:val="center"/>
      </w:pPr>
      <m:oMath>
        <m:sSub>
          <m:e>
            <m:r>
              <m:t>q</m:t>
            </m:r>
          </m:e>
          <m:sub>
            <m:r>
              <m:t>k+1</m:t>
            </m:r>
          </m:sub>
        </m:sSub>
        <m:r>
          <m:t> = wrap(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 − V </m:t>
        </m:r>
        <m:sSup>
          <m:e>
            <m:r>
              <m:t>Σ</m:t>
            </m:r>
          </m:e>
          <m:sup>
            <m:r>
              <m:t>†</m:t>
            </m:r>
          </m:sup>
        </m:sSup>
        <m:r>
          <m:t> </m:t>
        </m:r>
        <m:sSup>
          <m:e>
            <m:r>
              <m:t>U</m:t>
            </m:r>
          </m:e>
          <m:sup>
            <m:r>
              <m:t>T</m:t>
            </m:r>
          </m:sup>
        </m:sSup>
        <m:r>
          <m:t> C(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))</m:t>
        </m:r>
      </m:oMath>
      <w:r>
        <w:t xml:space="preserve">   (6)</w:t>
      </w:r>
    </w:p>
    <w:p>
      <w:r>
        <w:t>本次使用无阻尼、无线搜索、无随机重启的全约束NR，最多100次更新。包裹角度是周期坐标的表示选择，不能等同于对任意工业机器人关节限位截断。原论文KDL实现、空间毫米单位和数值门限与本次20R实现不同，因此不比较绝对软件速度。</w:t>
      </w:r>
    </w:p>
    <w:p>
      <w:r>
        <w:br w:type="page"/>
      </w:r>
    </w:p>
    <w:p>
      <w:pPr>
        <w:pStyle w:val="Heading1"/>
      </w:pPr>
      <w:r>
        <w:t>2 解析被动链与分划切换</w:t>
      </w:r>
    </w:p>
    <w:p>
      <w:r>
        <w:t>APC将部分关节视为主动变量，使用非冗余被动链的解析IK闭合其余变量。被动只是求解角色，机构的每个关节仍是全驱动。对连续3R被动链，将整链变换写成T_prefix T_p T_suffix=T_target，即可保留全部主动关节并求被动子链。</w:t>
      </w:r>
    </w:p>
    <w:p>
      <w:pPr>
        <w:spacing w:before="40" w:after="80"/>
        <w:jc w:val="center"/>
      </w:pPr>
      <m:oMath>
        <m:sSub>
          <m:e>
            <m:r>
              <m:t>T</m:t>
            </m:r>
          </m:e>
          <m:sub>
            <m:r>
              <m:t>p</m:t>
            </m:r>
          </m:sub>
        </m:sSub>
        <m:r>
          <m:t> = </m:t>
        </m:r>
        <m:sSup>
          <m:e>
            <m:sSub>
              <m:e>
                <m:r>
                  <m:t>T</m:t>
                </m:r>
              </m:e>
              <m:sub>
                <m:r>
                  <m:t>prefix</m:t>
                </m:r>
              </m:sub>
            </m:sSub>
          </m:e>
          <m:sup>
            <m:r>
              <m:t>−1</m:t>
            </m:r>
          </m:sup>
        </m:sSup>
        <m:r>
          <m:t> </m:t>
        </m:r>
        <m:sSub>
          <m:e>
            <m:r>
              <m:t>T</m:t>
            </m:r>
          </m:e>
          <m:sub>
            <m:r>
              <m:t>target</m:t>
            </m:r>
          </m:sub>
        </m:sSub>
        <m:r>
          <m:t> </m:t>
        </m:r>
        <m:sSup>
          <m:e>
            <m:sSub>
              <m:e>
                <m:r>
                  <m:t>T</m:t>
                </m:r>
              </m:e>
              <m:sub>
                <m:r>
                  <m:t>suffix</m:t>
                </m:r>
              </m:sub>
            </m:sSub>
          </m:e>
          <m:sup>
            <m:r>
              <m:t>−1</m:t>
            </m:r>
          </m:sup>
        </m:sSup>
      </m:oMath>
      <w:r>
        <w:t xml:space="preserve">   (7)</w:t>
      </w:r>
    </w:p>
    <w:p>
      <w:r>
        <w:t>若被动末端的所需平面位姿为(x_p,y_p,φ)，先减去第三根杆的位移，得到腕点(u,v)。前两关节满足余弦定理，正负反余弦对应两条肘部分支。</w:t>
      </w:r>
    </w:p>
    <w:p>
      <w:pPr>
        <w:spacing w:before="40" w:after="80"/>
        <w:jc w:val="center"/>
      </w:pPr>
      <m:oMath>
        <m:r>
          <m:t>u = 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t> − </m:t>
        </m:r>
        <m:sSub>
          <m:e>
            <m:r>
              <m:t>ℓ</m:t>
            </m:r>
          </m:e>
          <m:sub>
            <m:r>
              <m:t>3</m:t>
            </m:r>
          </m:sub>
        </m:sSub>
        <m:r>
          <m:t> cos φ,   v = 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t> − </m:t>
        </m:r>
        <m:sSub>
          <m:e>
            <m:r>
              <m:t>ℓ</m:t>
            </m:r>
          </m:e>
          <m:sub>
            <m:r>
              <m:t>3</m:t>
            </m:r>
          </m:sub>
        </m:sSub>
        <m:r>
          <m:t> sin φ</m:t>
        </m:r>
      </m:oMath>
    </w:p>
    <w:p>
      <w:pPr>
        <w:spacing w:before="40" w:after="80"/>
        <w:jc w:val="center"/>
      </w:pP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 = </m:t>
        </m:r>
        <m:f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t> + 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  <m:r>
              <m:t> − </m:t>
            </m:r>
            <m:sSup>
              <m:e>
                <m:sSub>
                  <m:e>
                    <m:r>
                      <m:t>ℓ</m:t>
                    </m:r>
                  </m:e>
                  <m:sub>
                    <m:r>
                      <m:t>1</m:t>
                    </m:r>
                  </m:sub>
                </m:sSub>
              </m:e>
              <m:sup>
                <m:r>
                  <m:t>2</m:t>
                </m:r>
              </m:sup>
            </m:sSup>
            <m:r>
              <m:t> − </m:t>
            </m:r>
            <m:sSup>
              <m:e>
                <m:sSub>
                  <m:e>
                    <m:r>
                      <m:t>ℓ</m:t>
                    </m:r>
                  </m:e>
                  <m:sub>
                    <m:r>
                      <m:t>2</m:t>
                    </m:r>
                  </m:sub>
                </m:sSub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b>
              <m:e>
                <m:r>
                  <m:t>ℓ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ℓ</m:t>
                </m:r>
              </m:e>
              <m:sub>
                <m:r>
                  <m:t>2</m:t>
                </m:r>
              </m:sub>
            </m:sSub>
          </m:den>
        </m:f>
        <m:r>
          <m:t>,   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t> = ±acos(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)</m:t>
        </m:r>
      </m:oMath>
      <w:r>
        <w:t xml:space="preserve">   (8)</w:t>
      </w:r>
    </w:p>
    <w:p>
      <w:pPr>
        <w:spacing w:before="40" w:after="80"/>
        <w:jc w:val="center"/>
      </w:pPr>
      <m:oMath>
        <m:sSub>
          <m:e>
            <m:r>
              <m:t>q</m:t>
            </m:r>
          </m:e>
          <m:sub>
            <m:r>
              <m:t>1</m:t>
            </m:r>
          </m:sub>
        </m:sSub>
        <m:r>
          <m:t> = atan2(v,u) − atan2(</m:t>
        </m:r>
        <m:sSub>
          <m:e>
            <m:r>
              <m:t>ℓ</m:t>
            </m:r>
          </m:e>
          <m:sub>
            <m:r>
              <m:t>2</m:t>
            </m:r>
          </m:sub>
        </m:sSub>
        <m:r>
          <m:t> sin 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t>, </m:t>
        </m:r>
        <m:sSub>
          <m:e>
            <m:r>
              <m:t>ℓ</m:t>
            </m:r>
          </m:e>
          <m:sub>
            <m:r>
              <m:t>1</m:t>
            </m:r>
          </m:sub>
        </m:sSub>
        <m:r>
          <m:t> + </m:t>
        </m:r>
        <m:sSub>
          <m:e>
            <m:r>
              <m:t>ℓ</m:t>
            </m:r>
          </m:e>
          <m:sub>
            <m:r>
              <m:t>2</m:t>
            </m:r>
          </m:sub>
        </m:sSub>
        <m:r>
          <m:t> cos 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t>)</m:t>
        </m:r>
      </m:oMath>
      <w:r>
        <w:t xml:space="preserve">   (9)</w:t>
      </w:r>
    </w:p>
    <w:p>
      <w:pPr>
        <w:spacing w:before="40" w:after="80"/>
        <w:jc w:val="center"/>
      </w:pPr>
      <m:oMath>
        <m:sSub>
          <m:e>
            <m:r>
              <m:t>q</m:t>
            </m:r>
          </m:e>
          <m:sub>
            <m:r>
              <m:t>3</m:t>
            </m:r>
          </m:sub>
        </m:sSub>
        <m:r>
          <m:t> = φ − 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t> − </m:t>
        </m:r>
        <m:sSub>
          <m:e>
            <m:r>
              <m:t>q</m:t>
            </m:r>
          </m:e>
          <m:sub>
            <m:r>
              <m:t>2</m:t>
            </m:r>
          </m:sub>
        </m:sSub>
      </m:oMath>
    </w:p>
    <w:p>
      <w:r>
        <w:t>当|c₂|大于1时，所给主动构型无法由该被动链闭合；这是一种真实采样失败。本实现只容许10⁻¹²浮点边界舍入，随后重新检查闭链残差与关节界，没有通过扩大工作空间制造可达性。</w:t>
      </w:r>
    </w:p>
    <w:p>
      <w:pPr>
        <w:pStyle w:val="Heading2"/>
      </w:pPr>
      <w:r>
        <w:t>2.1 PCS如何改变可连接集合</w:t>
      </w:r>
    </w:p>
    <w:p>
      <w:r>
        <w:t>本模型主规划使用零起始索引分划p=0与p=16，分别对应关节0–2和16–18。对候选局部边，程序查找两端共同的非奇异IK分支，然后在该分划内递归投影。两种分划可在不同树边使用；若一条最终解依次使用不同分划，才构成最终解上的换链证据。</w:t>
      </w:r>
    </w:p>
    <w:p>
      <w:r>
        <w:t>原论文式5–9使用不同被动链的分支覆盖解释可见性。在理想独立且等测度的假设下，m个分划、各ξ_k个IK解给出的可见性上界含有下式；障碍、限位及APC不可达性均会使实际成功率降低。</w:t>
      </w:r>
    </w:p>
    <w:p>
      <w:pPr>
        <w:spacing w:before="40" w:after="80"/>
        <w:jc w:val="center"/>
      </w:pPr>
      <m:oMath>
        <m:sSub>
          <m:e>
            <m:r>
              <m:t>P</m:t>
            </m:r>
          </m:e>
          <m:sub>
            <m:r>
              <m:t>v</m:t>
            </m:r>
          </m:sub>
        </m:sSub>
        <m:r>
          <m:t> = 1 − </m:t>
        </m:r>
        <m:nary>
          <m:naryPr>
            <m:chr m:val="∏"/>
            <m:limLoc m:val="subSup"/>
          </m:naryPr>
          <m:sub>
            <m:r>
              <m:t>k=1</m:t>
            </m:r>
          </m:sub>
          <m:sup>
            <m:r>
              <m:t>m</m:t>
            </m:r>
          </m:sup>
          <m:e>
            <m:r>
              <m:t>(1 − </m:t>
            </m:r>
            <m:f>
              <m:num>
                <m:r>
                  <m:t>1</m:t>
                </m:r>
              </m:num>
              <m:den>
                <m:sSub>
                  <m:e>
                    <m:r>
                      <m:t>ξ</m:t>
                    </m:r>
                  </m:e>
                  <m:sub>
                    <m:r>
                      <m:t>k</m:t>
                    </m:r>
                  </m:sub>
                </m:sSub>
              </m:den>
            </m:f>
            <m:r>
              <m:t>)</m:t>
            </m:r>
          </m:e>
        </m:nary>
      </m:oMath>
      <w:r>
        <w:t xml:space="preserve">   (10)</w:t>
      </w:r>
    </w:p>
    <w:p>
      <w:pPr>
        <w:spacing w:before="40" w:after="80"/>
        <w:jc w:val="center"/>
      </w:pPr>
      <m:oMath>
        <m:r>
          <m:t>μ(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t>(q)) ≤ </m:t>
        </m:r>
        <m:sSub>
          <m:e>
            <m:r>
              <m:t>P</m:t>
            </m:r>
          </m:e>
          <m:sub>
            <m:r>
              <m:t>v</m:t>
            </m:r>
          </m:sub>
        </m:sSub>
        <m:r>
          <m:t> μ(</m:t>
        </m:r>
        <m:sSub>
          <m:e>
            <m:r>
              <m:t>C</m:t>
            </m:r>
          </m:e>
          <m:sub>
            <m:r>
              <m:t>cl</m:t>
            </m:r>
          </m:sub>
        </m:sSub>
        <m:r>
          <m:t>)</m:t>
        </m:r>
      </m:oMath>
    </w:p>
    <w:p>
      <w:r>
        <w:t>该式是带假设的上界，不是本次数值成功率的拟合公式。主规划仅使用两种明确实现的分划；Fig3机制试验另暴露17个连续非零3R分划。由于末端法兰长度为零，未补造原图m=20的数据。</w:t>
      </w:r>
    </w:p>
    <w:p>
      <w:r>
        <w:br w:type="page"/>
      </w:r>
    </w:p>
    <w:p>
      <w:pPr>
        <w:pStyle w:val="Heading1"/>
      </w:pPr>
      <w:r>
        <w:t>3 RSS与递归局部连接</w:t>
      </w:r>
    </w:p>
    <w:p>
      <w:pPr>
        <w:pStyle w:val="Heading2"/>
      </w:pPr>
      <w:r>
        <w:t>3.1 随机奇异采样的机制</w:t>
      </w:r>
    </w:p>
    <w:p>
      <w:r>
        <w:t>固定被动链的人工奇异性由被动约束雅可比J_p秩下降表征。它不必是整个闭链约束雅可比的秩下降。对平面3R，det J_p与ℓ₁ℓ₂ sin q₂成比例；肘角为0或π时，正负肘支可相接。RSS以概率γ=0.2请求奇异目标，其他目标仍通过普通主动变量采样及固定被动链IK构造，不能用NR代替RSS。</w:t>
      </w:r>
    </w:p>
    <w:p>
      <w:pPr>
        <w:spacing w:before="40" w:after="80"/>
        <w:jc w:val="center"/>
      </w:pPr>
      <m:oMath>
        <m:r>
          <m:t>rank(</m:t>
        </m:r>
        <m:sSub>
          <m:e>
            <m:r>
              <m:t>J</m:t>
            </m:r>
          </m:e>
          <m:sub>
            <m:r>
              <m:t>p</m:t>
            </m:r>
          </m:sub>
        </m:sSub>
        <m:r>
          <m:t>(</m:t>
        </m:r>
        <m:sSub>
          <m:e>
            <m:r>
              <m:t>q</m:t>
            </m:r>
          </m:e>
          <m:sub>
            <m:r>
              <m:t>sing</m:t>
            </m:r>
          </m:sub>
        </m:sSub>
        <m:r>
          <m:t>)) &lt; 3,   γ = 0.2</m:t>
        </m:r>
      </m:oMath>
      <w:r>
        <w:t xml:space="preserve">   (11)</w:t>
      </w:r>
    </w:p>
    <w:p>
      <w:r>
        <w:t>保存的确定性奇异夹具确有rank 2，最小奇异值1.198×10⁻¹⁷，行列式4.065×10⁻¹⁹。旧单元夹具的两侧RBS连接用于检验分支相接机制，预设夹具不进入随机规划成功统计。随机采样需要同时实现几何闭合、限位、碰撞可行和树可达，构造一个代数奇异点本身不够。</w:t>
      </w:r>
    </w:p>
    <w:p>
      <w:pPr>
        <w:pStyle w:val="Heading2"/>
      </w:pPr>
      <w:r>
        <w:t>3.2 RBS的递归条件</w:t>
      </w:r>
    </w:p>
    <w:p>
      <w:r>
        <w:t>RBS先验证端点，再把两端的关节中点投影到约束流形。PCS使用选定的共同分划与分支，NR使用全约束投影，RSS使用其固定被动链。每个中点都执行闭链、限位和真实几何碰撞检查，任一失败则该试探边失败。分段距离降到0.05 rad后形成离散叶；深度最多12、每次连接最多256次投影。</w:t>
      </w:r>
    </w:p>
    <w:p>
      <w:pPr>
        <w:spacing w:before="40" w:after="80"/>
        <w:jc w:val="center"/>
      </w:pPr>
      <m:oMath>
        <m:sSub>
          <m:e>
            <m:r>
              <m:t>q</m:t>
            </m:r>
          </m:e>
          <m:sub>
            <m:r>
              <m:t>m</m:t>
            </m:r>
          </m:sub>
        </m:sSub>
        <m:r>
          <m:t> = Π(</m:t>
        </m:r>
        <m:f>
          <m:num>
            <m:sSub>
              <m:e>
                <m:r>
                  <m:t>q</m:t>
                </m:r>
              </m:e>
              <m:sub>
                <m:r>
                  <m:t>a</m:t>
                </m:r>
              </m:sub>
            </m:sSub>
            <m:r>
              <m:t> + </m:t>
            </m:r>
            <m:sSub>
              <m:e>
                <m:r>
                  <m:t>q</m:t>
                </m:r>
              </m:e>
              <m:sub>
                <m:r>
                  <m:t>b</m:t>
                </m:r>
              </m:sub>
            </m:sSub>
          </m:num>
          <m:den>
            <m:r>
              <m:t>2</m:t>
            </m:r>
          </m:den>
        </m:f>
        <m:r>
          <m:t>),   </m:t>
        </m:r>
        <m:sSub>
          <m:e>
            <m:r>
              <m:t>q</m:t>
            </m:r>
          </m:e>
          <m:sub>
            <m:r>
              <m:t>m</m:t>
            </m:r>
          </m:sub>
        </m:sSub>
        <m:r>
          <m:t> ∈ </m:t>
        </m:r>
        <m:sSub>
          <m:e>
            <m:r>
              <m:t>C</m:t>
            </m:r>
          </m:e>
          <m:sub>
            <m:r>
              <m:t>o</m:t>
            </m:r>
          </m:sub>
        </m:sSub>
      </m:oMath>
      <w:r>
        <w:t xml:space="preserve">   (12)</w:t>
      </w:r>
    </w:p>
    <w:p>
      <w:pPr>
        <w:spacing w:before="40" w:after="80"/>
        <w:jc w:val="center"/>
      </w:pPr>
      <m:oMath>
        <m:r>
          <m:t>recurse(</m:t>
        </m:r>
        <m:sSub>
          <m:e>
            <m:r>
              <m:t>q</m:t>
            </m:r>
          </m:e>
          <m:sub>
            <m:r>
              <m:t>a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m</m:t>
            </m:r>
          </m:sub>
        </m:sSub>
        <m:r>
          <m:t>),   recurse(</m:t>
        </m:r>
        <m:sSub>
          <m:e>
            <m:r>
              <m:t>q</m:t>
            </m:r>
          </m:e>
          <m:sub>
            <m:r>
              <m:t>m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b</m:t>
            </m:r>
          </m:sub>
        </m:sSub>
        <m:r>
          <m:t>)</m:t>
        </m:r>
      </m:oMath>
    </w:p>
    <w:p>
      <w:r>
        <w:t>这是重建的完整检查版本。作者旧RSS代码中靠近奇异端点的提前退出、近似π和若干原生接口问题在历史失败中单独保留；本次未把这些版本混成同一个实现。叶长受控仍不是严格连续碰撞检测证书。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314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lgorithm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14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图1 真实复现程序的计算流程示意</w:t>
      </w:r>
    </w:p>
    <w:p>
      <w:r>
        <w:br w:type="page"/>
      </w:r>
    </w:p>
    <w:p>
      <w:pPr>
        <w:pStyle w:val="Heading1"/>
      </w:pPr>
      <w:r>
        <w:t>4 虚拟机构与实验协议</w:t>
      </w:r>
    </w:p>
    <w:p>
      <w:r>
        <w:t>20R模型由19根长度ℓ=sin(π/38) m的移动杆和长度1 m的固定地杆构成。移动杆与地杆均以半径0.002 m的胶囊体建模；只排除共享实际转动关节的相邻杆对，保留其余自碰撞检查。圆障碍按线段到圆心距离减去两者半径检查，接触或穿透均判为碰撞。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58"/>
        <w:gridCol w:w="7666"/>
      </w:tblGrid>
      <w:tr>
        <w:trPr>
          <w:tblHeader/>
          <w:cantSplit/>
        </w:trPr>
        <w:tc>
          <w:tcPr>
            <w:tcW w:type="dxa" w:w="18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B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66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B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实际设置</w:t>
            </w:r>
          </w:p>
        </w:tc>
      </w:tr>
      <w:tr>
        <w:trPr>
          <w:cantSplit/>
        </w:trPr>
        <w:tc>
          <w:tcPr>
            <w:tcW w:type="dxa" w:w="18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构型与约束</w:t>
            </w:r>
          </w:p>
        </w:tc>
        <w:tc>
          <w:tcPr>
            <w:tcW w:type="dxa" w:w="766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20个转动关节；3维SE(2)闭链残差</w:t>
            </w:r>
          </w:p>
        </w:tc>
      </w:tr>
      <w:tr>
        <w:trPr>
          <w:cantSplit/>
        </w:trPr>
        <w:tc>
          <w:tcPr>
            <w:tcW w:type="dxa" w:w="18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关节限位</w:t>
            </w:r>
          </w:p>
        </w:tc>
        <w:tc>
          <w:tcPr>
            <w:tcW w:type="dxa" w:w="766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每关节[−π,π] rad</w:t>
            </w:r>
          </w:p>
        </w:tc>
      </w:tr>
      <w:tr>
        <w:trPr>
          <w:cantSplit/>
        </w:trPr>
        <w:tc>
          <w:tcPr>
            <w:tcW w:type="dxa" w:w="18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E0障碍</w:t>
            </w:r>
          </w:p>
        </w:tc>
        <w:tc>
          <w:tcPr>
            <w:tcW w:type="dxa" w:w="766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圆心(0.45,0.72) m，半径0.045 m</w:t>
            </w:r>
          </w:p>
        </w:tc>
      </w:tr>
      <w:tr>
        <w:trPr>
          <w:cantSplit/>
        </w:trPr>
        <w:tc>
          <w:tcPr>
            <w:tcW w:type="dxa" w:w="18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E1新增障碍</w:t>
            </w:r>
          </w:p>
        </w:tc>
        <w:tc>
          <w:tcPr>
            <w:tcW w:type="dxa" w:w="766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圆心(0.50,0.18)、(0.72,0.60) m；半径0.065、0.050 m</w:t>
            </w:r>
          </w:p>
        </w:tc>
      </w:tr>
      <w:tr>
        <w:trPr>
          <w:cantSplit/>
        </w:trPr>
        <w:tc>
          <w:tcPr>
            <w:tcW w:type="dxa" w:w="18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共同预算</w:t>
            </w:r>
          </w:p>
        </w:tc>
        <w:tc>
          <w:tcPr>
            <w:tcW w:type="dxa" w:w="766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每次1 s墙钟；120外迭代；最多300树节点</w:t>
            </w:r>
          </w:p>
        </w:tc>
      </w:tr>
      <w:tr>
        <w:trPr>
          <w:cantSplit/>
        </w:trPr>
        <w:tc>
          <w:tcPr>
            <w:tcW w:type="dxa" w:w="18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局部连接</w:t>
            </w:r>
          </w:p>
        </w:tc>
        <w:tc>
          <w:tcPr>
            <w:tcW w:type="dxa" w:w="766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RBS叶长0.05 rad，深度12，投影次数256</w:t>
            </w:r>
          </w:p>
        </w:tc>
      </w:tr>
      <w:tr>
        <w:trPr>
          <w:cantSplit/>
        </w:trPr>
        <w:tc>
          <w:tcPr>
            <w:tcW w:type="dxa" w:w="18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配对种子</w:t>
            </w:r>
          </w:p>
        </w:tc>
        <w:tc>
          <w:tcPr>
            <w:tcW w:type="dxa" w:w="766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7、23、41、59、73；NumPy PCG64</w:t>
            </w:r>
          </w:p>
        </w:tc>
      </w:tr>
      <w:tr>
        <w:trPr>
          <w:cantSplit/>
        </w:trPr>
        <w:tc>
          <w:tcPr>
            <w:tcW w:type="dxa" w:w="18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五种方法</w:t>
            </w:r>
          </w:p>
        </w:tc>
        <w:tc>
          <w:tcPr>
            <w:tcW w:type="dxa" w:w="766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RSS、PCS full、PCS fixed-0、PCS fixed-16、NR</w:t>
            </w:r>
          </w:p>
        </w:tc>
      </w:tr>
    </w:tbl>
    <w:p>
      <w:pPr>
        <w:spacing w:after="20"/>
      </w:pPr>
    </w:p>
    <w:p>
      <w:r>
        <w:t>设a=π/19。起点关节0与19为π/2−a/2，其余关节为−a。终点只把关节16–18改为(−2a,a,−2a)。两端在同一完整闭链内合法，但p16的肘部分支符号相反，而p0分支兼容。固定0因而是公平可连接的消融基线；固定16是分支受限的诊断负对照，不能只通过它失败来证明PCS优越。</w:t>
      </w:r>
    </w:p>
    <w:p>
      <w:r>
        <w:t>双向树交替生长，采样后按0.6 rad的共同步长扩展，投影并经RBS后插入树。两棵树只在同一精确构型汇合后回溯；没有隐藏的直接连接捷径、路径平滑或有利种子筛选。墙钟包含搜索、投影、模型检查和终端复核，序列化与文件输出不计入规划时间。</w:t>
      </w:r>
    </w:p>
    <w:p>
      <w:r>
        <w:t>先前20次探索试验采用种子7和23，后续50次稳定性试验采用五个种子，前两种子重复出现。本报告以50次作为主统计，不把70次调用说成每组7个独立样本。原始配置、源码哈希与完整失败记录一同保存。</w:t>
      </w:r>
    </w:p>
    <w:p>
      <w:r>
        <w:br w:type="page"/>
      </w:r>
    </w:p>
    <w:p>
      <w:pPr>
        <w:pStyle w:val="Heading1"/>
      </w:pPr>
      <w:r>
        <w:t>5 完整轨迹及独立验证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12000" cy="35922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mplete_trajec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592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图2 E1中PCS seed 7的完整保存路径  背景叠绘每个保存构型</w:t>
      </w:r>
    </w:p>
    <w:p>
      <w:r>
        <w:t>图2展示从实际搜索得到的路径。蓝、橙、绿分别为起点、中间构型和终点，浅色叠绘全部保存状态。经验证的杆端位置满足闭合，终点改变的是局部肘形；路径为几何关节轨迹，尚未进行速度、加速度或动力学时间参数化。</w:t>
      </w:r>
    </w:p>
    <w:p>
      <w:r>
        <w:t>50次主试验中共有26条SUCCESS轨迹记录，包含2142个保存状态；其中13对E0/E1记录的完整关节路径逐值相同，即13条不同的关节路径分别在两环境中取得资格；其余24次均为TIME_LIMIT。独立程序从原始gzip读取关节值，重新计算累积刚体变换，并用另一套解析线段距离算法检查胶囊自碰撞和圆障碍，不依赖原程序的valid布尔值或GEOS碰撞函数。它还核对端点身份、树边回溯、每条局部边的分划、分支与叶长，并在局部流形上增密复验。</w:t>
      </w:r>
    </w:p>
    <w:p>
      <w:r>
        <w:t>独立验证共检查2116条原RBS叶边及6348个新增中点，合计8490状态；最大位置残差9.040×10⁻⁹ m、角度残差2.220×10⁻¹⁵ rad，最小净距0.053965 m、最小关节余量0.346012 rad。11项正负oracle夹具均通过，未发现闭链、限位、碰撞或分支违规。GNUtime记录3.62 s墙钟、4.93 s CPU。增密时，PCS按原边共同分划重新求解析中点，NR按独立约束和雅可比重建投影中点。不能直接在环境关节空间线性插值后要求整段严格闭合，因为该直线通常离开流形。独立中点属于额外的离散复验，既不改写原始路径，也不声称有限采样证明连续安全。详细计数、残差、净距、oracle负例和耗时见独立验证原始summary。</w:t>
      </w:r>
    </w:p>
    <w:p>
      <w:r>
        <w:br w:type="page"/>
      </w:r>
    </w:p>
    <w:p>
      <w:pPr>
        <w:pStyle w:val="Heading1"/>
      </w:pPr>
      <w:r>
        <w:t>6 约束误差与空间路径复用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35924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th_constrai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9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图3 保存路径逐点的闭链误差  关节余量与碰撞净距</w:t>
      </w:r>
    </w:p>
    <w:p>
      <w:r>
        <w:t>图3取自原始逐点数值，路径点编号不能解释为秒。位置误差与角度误差分别按其物理单位判断，不能用混合单位范数掩盖某一分量的越界。报告同时保留关节界余量及最小几何净距，使闭合、限位与碰撞三项有效性可以分别复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5"/>
        <w:gridCol w:w="1510"/>
        <w:gridCol w:w="5459"/>
      </w:tblGrid>
      <w:tr>
        <w:trPr>
          <w:tblHeader/>
          <w:cantSplit/>
        </w:trPr>
        <w:tc>
          <w:tcPr>
            <w:tcW w:type="dxa" w:w="25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B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空间路径</w:t>
            </w:r>
          </w:p>
        </w:tc>
        <w:tc>
          <w:tcPr>
            <w:tcW w:type="dxa" w:w="1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B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保存点数</w:t>
            </w:r>
          </w:p>
        </w:tc>
        <w:tc>
          <w:tcPr>
            <w:tcW w:type="dxa" w:w="54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B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证据边界</w:t>
            </w:r>
          </w:p>
        </w:tc>
      </w:tr>
      <w:tr>
        <w:trPr>
          <w:cantSplit/>
        </w:trPr>
        <w:tc>
          <w:tcPr>
            <w:tcW w:type="dxa" w:w="25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II RRT PCS / NR</w:t>
            </w:r>
          </w:p>
        </w:tc>
        <w:tc>
          <w:tcPr>
            <w:tcW w:type="dxa" w:w="1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177 / 393</w:t>
            </w:r>
          </w:p>
        </w:tc>
        <w:tc>
          <w:tcPr>
            <w:tcW w:type="dxa" w:w="54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已保存独立离散证书</w:t>
            </w:r>
          </w:p>
        </w:tc>
      </w:tr>
      <w:tr>
        <w:trPr>
          <w:cantSplit/>
        </w:trPr>
        <w:tc>
          <w:tcPr>
            <w:tcW w:type="dxa" w:w="25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II CBiRRT PCS / NR</w:t>
            </w:r>
          </w:p>
        </w:tc>
        <w:tc>
          <w:tcPr>
            <w:tcW w:type="dxa" w:w="1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413 / 689</w:t>
            </w:r>
          </w:p>
        </w:tc>
        <w:tc>
          <w:tcPr>
            <w:tcW w:type="dxa" w:w="54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已保存独立离散证书</w:t>
            </w:r>
          </w:p>
        </w:tc>
      </w:tr>
      <w:tr>
        <w:trPr>
          <w:cantSplit/>
        </w:trPr>
        <w:tc>
          <w:tcPr>
            <w:tcW w:type="dxa" w:w="25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II SBL PCS</w:t>
            </w:r>
          </w:p>
        </w:tc>
        <w:tc>
          <w:tcPr>
            <w:tcW w:type="dxa" w:w="1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387</w:t>
            </w:r>
          </w:p>
        </w:tc>
        <w:tc>
          <w:tcPr>
            <w:tcW w:type="dxa" w:w="54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前缀262与尾部125组合资格</w:t>
            </w:r>
          </w:p>
        </w:tc>
      </w:tr>
      <w:tr>
        <w:trPr>
          <w:cantSplit/>
        </w:trPr>
        <w:tc>
          <w:tcPr>
            <w:tcW w:type="dxa" w:w="25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III RRT PCS</w:t>
            </w:r>
          </w:p>
        </w:tc>
        <w:tc>
          <w:tcPr>
            <w:tcW w:type="dxa" w:w="1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649</w:t>
            </w:r>
          </w:p>
        </w:tc>
        <w:tc>
          <w:tcPr>
            <w:tcW w:type="dxa" w:w="54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648叶；最终4次主动臂角色切换</w:t>
            </w:r>
          </w:p>
        </w:tc>
      </w:tr>
    </w:tbl>
    <w:p>
      <w:pPr>
        <w:spacing w:after="20"/>
      </w:pPr>
    </w:p>
    <w:p>
      <w:r>
        <w:t>III的15个里程点形成14条最终局部边，最大相邻L2距离0.04995649 rad；最大位置闭链分量4.547×10⁻¹³ mm，最大旋转矩阵差4.469×10⁻¹⁵。3253项保留哈希引用与节点、数学、碰撞记录逐项对应。原生TCP差异649/649仍存在，aligned策略合格不等于原生TCP等价。环境V失败前缀未到目标，V5只作监督器工程候选，不列成功路径。</w:t>
      </w:r>
    </w:p>
    <w:p>
      <w:r>
        <w:br w:type="page"/>
      </w:r>
    </w:p>
    <w:p>
      <w:pPr>
        <w:pStyle w:val="Heading1"/>
      </w:pPr>
      <w:r>
        <w:t>7 RSS PCS NR的配对规划结果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37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aired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图4 主试验成功率及Wilson区间  右轴为含超时的平均规划墙钟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26"/>
        <w:gridCol w:w="987"/>
        <w:gridCol w:w="1452"/>
        <w:gridCol w:w="987"/>
        <w:gridCol w:w="1452"/>
        <w:gridCol w:w="3020"/>
      </w:tblGrid>
      <w:tr>
        <w:trPr>
          <w:tblHeader/>
          <w:cantSplit/>
        </w:trPr>
        <w:tc>
          <w:tcPr>
            <w:tcW w:type="dxa" w:w="16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B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9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B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E0成功</w:t>
            </w:r>
          </w:p>
        </w:tc>
        <w:tc>
          <w:tcPr>
            <w:tcW w:type="dxa" w:w="14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B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E0时间 s</w:t>
            </w:r>
          </w:p>
        </w:tc>
        <w:tc>
          <w:tcPr>
            <w:tcW w:type="dxa" w:w="9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B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E1成功</w:t>
            </w:r>
          </w:p>
        </w:tc>
        <w:tc>
          <w:tcPr>
            <w:tcW w:type="dxa" w:w="14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B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E1时间 s</w:t>
            </w:r>
          </w:p>
        </w:tc>
        <w:tc>
          <w:tcPr>
            <w:tcW w:type="dxa" w:w="3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B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E1成功路径 rad</w:t>
            </w:r>
          </w:p>
        </w:tc>
      </w:tr>
      <w:tr>
        <w:trPr>
          <w:cantSplit/>
        </w:trPr>
        <w:tc>
          <w:tcPr>
            <w:tcW w:type="dxa" w:w="16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RSS</w:t>
            </w:r>
          </w:p>
        </w:tc>
        <w:tc>
          <w:tcPr>
            <w:tcW w:type="dxa" w:w="9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0/5</w:t>
            </w:r>
          </w:p>
        </w:tc>
        <w:tc>
          <w:tcPr>
            <w:tcW w:type="dxa" w:w="14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1.0002</w:t>
            </w:r>
          </w:p>
        </w:tc>
        <w:tc>
          <w:tcPr>
            <w:tcW w:type="dxa" w:w="9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0/5</w:t>
            </w:r>
          </w:p>
        </w:tc>
        <w:tc>
          <w:tcPr>
            <w:tcW w:type="dxa" w:w="14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1.0002</w:t>
            </w:r>
          </w:p>
        </w:tc>
        <w:tc>
          <w:tcPr>
            <w:tcW w:type="dxa" w:w="3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PCS full</w:t>
            </w:r>
          </w:p>
        </w:tc>
        <w:tc>
          <w:tcPr>
            <w:tcW w:type="dxa" w:w="9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3/5</w:t>
            </w:r>
          </w:p>
        </w:tc>
        <w:tc>
          <w:tcPr>
            <w:tcW w:type="dxa" w:w="14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0.5438</w:t>
            </w:r>
          </w:p>
        </w:tc>
        <w:tc>
          <w:tcPr>
            <w:tcW w:type="dxa" w:w="9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3/5</w:t>
            </w:r>
          </w:p>
        </w:tc>
        <w:tc>
          <w:tcPr>
            <w:tcW w:type="dxa" w:w="14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0.5695</w:t>
            </w:r>
          </w:p>
        </w:tc>
        <w:tc>
          <w:tcPr>
            <w:tcW w:type="dxa" w:w="3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3.7295</w:t>
            </w:r>
          </w:p>
        </w:tc>
      </w:tr>
      <w:tr>
        <w:trPr>
          <w:cantSplit/>
        </w:trPr>
        <w:tc>
          <w:tcPr>
            <w:tcW w:type="dxa" w:w="16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fixed-0</w:t>
            </w:r>
          </w:p>
        </w:tc>
        <w:tc>
          <w:tcPr>
            <w:tcW w:type="dxa" w:w="9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14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0.1481</w:t>
            </w:r>
          </w:p>
        </w:tc>
        <w:tc>
          <w:tcPr>
            <w:tcW w:type="dxa" w:w="9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14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0.1776</w:t>
            </w:r>
          </w:p>
        </w:tc>
        <w:tc>
          <w:tcPr>
            <w:tcW w:type="dxa" w:w="3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3.8491</w:t>
            </w:r>
          </w:p>
        </w:tc>
      </w:tr>
      <w:tr>
        <w:trPr>
          <w:cantSplit/>
        </w:trPr>
        <w:tc>
          <w:tcPr>
            <w:tcW w:type="dxa" w:w="16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fixed-16</w:t>
            </w:r>
          </w:p>
        </w:tc>
        <w:tc>
          <w:tcPr>
            <w:tcW w:type="dxa" w:w="9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0/5</w:t>
            </w:r>
          </w:p>
        </w:tc>
        <w:tc>
          <w:tcPr>
            <w:tcW w:type="dxa" w:w="14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1.0001</w:t>
            </w:r>
          </w:p>
        </w:tc>
        <w:tc>
          <w:tcPr>
            <w:tcW w:type="dxa" w:w="9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0/5</w:t>
            </w:r>
          </w:p>
        </w:tc>
        <w:tc>
          <w:tcPr>
            <w:tcW w:type="dxa" w:w="14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1.0001</w:t>
            </w:r>
          </w:p>
        </w:tc>
        <w:tc>
          <w:tcPr>
            <w:tcW w:type="dxa" w:w="3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NR</w:t>
            </w:r>
          </w:p>
        </w:tc>
        <w:tc>
          <w:tcPr>
            <w:tcW w:type="dxa" w:w="9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14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0.0325</w:t>
            </w:r>
          </w:p>
        </w:tc>
        <w:tc>
          <w:tcPr>
            <w:tcW w:type="dxa" w:w="9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14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0.0385</w:t>
            </w:r>
          </w:p>
        </w:tc>
        <w:tc>
          <w:tcPr>
            <w:tcW w:type="dxa" w:w="3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1.3020</w:t>
            </w:r>
          </w:p>
        </w:tc>
      </w:tr>
    </w:tbl>
    <w:p>
      <w:pPr>
        <w:spacing w:after="20"/>
      </w:pPr>
    </w:p>
    <w:p>
      <w:r>
        <w:t>NR在本任务中最快且成功路径最短；全PCS没有超过兼容的固定0。这些结论限于本机、当前重建场景和1 s预算。成功5/5的95% Wilson区间约为[0.566,1]，0/5仍约为[0,0.434]；样本不足以估计罕见失败或给出广泛方法排序。超时并不证明问题无解。</w:t>
      </w:r>
    </w:p>
    <w:p>
      <w:r>
        <w:t>E1的平均树节点数分别为RSS 39.6、PCS全分划24.6、固定0为6.2、固定16为46.6、NR为5.0；它们包含超时树，不能当成成功路径节点数。每次路径节点、树节点、投影和局部检查计数均见原始CSV。</w:t>
      </w:r>
    </w:p>
    <w:p>
      <w:r>
        <w:br w:type="page"/>
      </w:r>
    </w:p>
    <w:p>
      <w:pPr>
        <w:pStyle w:val="Heading1"/>
      </w:pPr>
      <w:r>
        <w:t>8 分划消融与RSS失败解释</w:t>
      </w:r>
    </w:p>
    <w:p>
      <w:pPr>
        <w:pStyle w:val="Heading2"/>
      </w:pPr>
      <w:r>
        <w:t>8.1 搜索树切换与最终路径切换</w:t>
      </w:r>
    </w:p>
    <w:p>
      <w:r>
        <w:t>按树节点的incoming_attempt追踪真实父子关系，而不是把全体尝试按时间相邻排列：10次全PCS调用中只发现1次被接受树边的父子分划变化，出现在E0 seed 73超时搜索树中。6条成功全PCS路径的全部最终边均使用p0，真实解路径切换为0。空间III的4次角色切换是另一种已保存的正例，不与20R结果混为一组。</w:t>
      </w:r>
    </w:p>
    <w:p>
      <w:r>
        <w:t>固定16的起终点肘支相反，因此它被设计为单图册连通性受限的负对照。固定0兼容两端且10次全部成功，全PCS只成功6/10，说明在短预算下探索其他图册可能增加成本。E1增加障碍后没有改变成功的种子集合，13对两环境均成功的密集路径逐值相同，障碍压力不足，不能从当前试验推出PCS在狭窄空间中的普遍优势。</w:t>
      </w:r>
    </w:p>
    <w:p>
      <w:pPr>
        <w:pStyle w:val="Heading2"/>
      </w:pPr>
      <w:r>
        <w:t>8.2 RSS为什么没有完成路径</w:t>
      </w:r>
    </w:p>
    <w:p>
      <w:r>
        <w:t>主试验10次RSS调用均在1 s预算终止。保存记录包含72次奇异目标请求，每次最多32次构造，合计2304次构造均为IK_UNREACHABLE，尚无闭合的随机奇异目标进入rank检查。因此当前首要失败发生在奇异采样的闭合可达性阶段，不能归因为树已经到达奇异点却无法跨越。</w:t>
      </w:r>
    </w:p>
    <w:p>
      <w:r>
        <w:t>普通APC失败、固定被动分支限制及短时间预算还会进一步影响树扩展。可观测失败来自奇异采样与短闭合链可达性耦合，但尚不能区分具体实现缺陷与采样支持不足，根因归类为UNKNOWN，原论文相同输入不可得的部分属于PAPER RESOURCE；现有证据不支持认定RSS理论或原论文错误。固定夹具rank 2和两侧连接只证明局部数学机制存在。</w:t>
      </w:r>
    </w:p>
    <w:p>
      <w:r>
        <w:t>历史三次修正及失败已归档，本轮没有重置额度，也没有再调γ、奇异目标分布、障碍或种子。若继续研究，需另行冻结能够提高奇异闭合可达率的假设、原作者对照和预算，保持原实现与修订实现分栏；当前报告将RSS规划结果保留为失败。</w:t>
      </w:r>
    </w:p>
    <w:p>
      <w:pPr>
        <w:pStyle w:val="Heading2"/>
      </w:pPr>
      <w:r>
        <w:t>8.3 公平性与可重复性边界</w:t>
      </w:r>
    </w:p>
    <w:p>
      <w:r>
        <w:t>五种方法使用相同的种子列表、起终点、几何规则和墙钟上限，但各算法消耗随机数的次序不同，因此paired seed不意味着每次具有相同的采样向量。计时也会随机器负载改变。重跑应保留新目录和实际终止状态，不要求逐字复制墙钟截断的树节点数量。</w:t>
      </w:r>
    </w:p>
    <w:p>
      <w:r>
        <w:br w:type="page"/>
      </w:r>
    </w:p>
    <w:p>
      <w:pPr>
        <w:pStyle w:val="Heading1"/>
      </w:pPr>
      <w:r>
        <w:t>9 投影成本与收敛行为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72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ojection_and_dis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2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图5 APC与NR的投影成功  成本及邻点距离变化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78"/>
        <w:gridCol w:w="1858"/>
        <w:gridCol w:w="1568"/>
        <w:gridCol w:w="2439"/>
        <w:gridCol w:w="2381"/>
      </w:tblGrid>
      <w:tr>
        <w:trPr>
          <w:tblHeader/>
          <w:cantSplit/>
        </w:trPr>
        <w:tc>
          <w:tcPr>
            <w:tcW w:type="dxa" w:w="12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B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8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B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成功输入</w:t>
            </w:r>
          </w:p>
        </w:tc>
        <w:tc>
          <w:tcPr>
            <w:tcW w:type="dxa" w:w="15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B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成功率</w:t>
            </w:r>
          </w:p>
        </w:tc>
        <w:tc>
          <w:tcPr>
            <w:tcW w:type="dxa" w:w="24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B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平均单次墙钟</w:t>
            </w:r>
          </w:p>
        </w:tc>
        <w:tc>
          <w:tcPr>
            <w:tcW w:type="dxa" w:w="238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B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平均NR更新数</w:t>
            </w:r>
          </w:p>
        </w:tc>
      </w:tr>
      <w:tr>
        <w:trPr>
          <w:cantSplit/>
        </w:trPr>
        <w:tc>
          <w:tcPr>
            <w:tcW w:type="dxa" w:w="12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APC</w:t>
            </w:r>
          </w:p>
        </w:tc>
        <w:tc>
          <w:tcPr>
            <w:tcW w:type="dxa" w:w="18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51 / 768</w:t>
            </w:r>
          </w:p>
        </w:tc>
        <w:tc>
          <w:tcPr>
            <w:tcW w:type="dxa" w:w="15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6.6406%</w:t>
            </w:r>
          </w:p>
        </w:tc>
        <w:tc>
          <w:tcPr>
            <w:tcW w:type="dxa" w:w="24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0.2542 ms</w:t>
            </w:r>
          </w:p>
        </w:tc>
        <w:tc>
          <w:tcPr>
            <w:tcW w:type="dxa" w:w="238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NR</w:t>
            </w:r>
          </w:p>
        </w:tc>
        <w:tc>
          <w:tcPr>
            <w:tcW w:type="dxa" w:w="18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768 / 768</w:t>
            </w:r>
          </w:p>
        </w:tc>
        <w:tc>
          <w:tcPr>
            <w:tcW w:type="dxa" w:w="15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24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1.8137 ms</w:t>
            </w:r>
          </w:p>
        </w:tc>
        <w:tc>
          <w:tcPr>
            <w:tcW w:type="dxa" w:w="238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7.447</w:t>
            </w:r>
          </w:p>
        </w:tc>
      </w:tr>
    </w:tbl>
    <w:p>
      <w:pPr>
        <w:spacing w:after="20"/>
      </w:pPr>
    </w:p>
    <w:p>
      <w:r>
        <w:t>768个配对输入来自6档局部扰动尺度，每档128个。APC固定p16并保留两条解析分支请求，当前每输入投影过程的平均墙钟比约为7.14，两实现的工作量及成功集合不同，但大多数主动构型不能闭合。NR实际Newton更新均值为7.447次。旧字段iterations把初始及终止残差记录在内，其8.447是平均trace长度。失败APC也计入单次平均时间，成功率与成功条件下的代价不能混读。</w:t>
      </w:r>
    </w:p>
    <w:p>
      <w:r>
        <w:t>原论文在两个空间6R机构、无关节限位和无碰撞条件下投影500000个ambient样本，报告APC成功7.92%、NR成功100%、APC快3–6倍。本次机构、采样分布、约束和软件不同，数值接近不能称同条件复现。图5右图另有每方法384次距离变化记录，仅统计成功投影的实际前后邻点距离，保留失败分母；它不是投影误差的理论曲线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60000" cy="214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nr_converg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图6 真实NR记录  分别以10⁻⁸验收  零值以10⁻¹⁸作为对数显示下限</w:t>
      </w:r>
    </w:p>
    <w:p>
      <w:r>
        <w:br w:type="page"/>
      </w:r>
    </w:p>
    <w:p>
      <w:pPr>
        <w:pStyle w:val="Heading1"/>
      </w:pPr>
      <w:r>
        <w:t>10 原论文图表的实际覆盖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24589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cal_visibil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458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图7 Fig3与Fig4对应的真实局部连接数据  分箱宽度0.3 rad</w:t>
      </w:r>
    </w:p>
    <w:p>
      <w:r>
        <w:t>Fig4对应试验在同一组240点对上比较RSS、PCS和NR，其中4对为真实抽样得到的零距离平凡点对，连接成功分别为73、105和177次，即30.42%、43.75%和73.75%。距离分箱可能样本很少，且点对包含同一点或由局部生成器得到的邻点，不能将总体解释为原空间环境的全局可见性。</w:t>
      </w:r>
    </w:p>
    <w:p>
      <w:r>
        <w:t>Fig3对应试验每个m有180点对，m=1、2、3、7、16成功率为68.89%、51.11%、60.00%、94.44%、99.44%。各m重新生成构型总体，不是相同点对上的严格配对消融；非单调性及高m上升都不能单独归因于增加分划。原图m=20、各m规划耗时曲线尚未复现。</w:t>
      </w:r>
    </w:p>
    <w:p>
      <w:r>
        <w:t>原文Table I环境II的Bi RRT平均规划时间为RSS 7.27 s、PCS 0.22 s、NR 0.13 s；Table II局部可见性为0.85%、1.31%、23.74%，平均局部连接耗时4.97、0.32、1.40 ms。这些是原文报告值，不是本次实验。原模型、原样本与C++依赖不同，不能与当前20R绝对时间拼表计算加速比。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394"/>
        <w:gridCol w:w="3717"/>
        <w:gridCol w:w="4414"/>
      </w:tblGrid>
      <w:tr>
        <w:trPr>
          <w:tblHeader/>
          <w:cantSplit/>
        </w:trPr>
        <w:tc>
          <w:tcPr>
            <w:tcW w:type="dxa" w:w="13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B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原文项目</w:t>
            </w:r>
          </w:p>
        </w:tc>
        <w:tc>
          <w:tcPr>
            <w:tcW w:type="dxa" w:w="37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B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本次对应证据</w:t>
            </w:r>
          </w:p>
        </w:tc>
        <w:tc>
          <w:tcPr>
            <w:tcW w:type="dxa" w:w="44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B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可比性限制</w:t>
            </w:r>
          </w:p>
        </w:tc>
      </w:tr>
      <w:tr>
        <w:trPr>
          <w:cantSplit/>
        </w:trPr>
        <w:tc>
          <w:tcPr>
            <w:tcW w:type="dxa" w:w="13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Fig3</w:t>
            </w:r>
          </w:p>
        </w:tc>
        <w:tc>
          <w:tcPr>
            <w:tcW w:type="dxa" w:w="37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900次局部连接与真实分箱曲线</w:t>
            </w:r>
          </w:p>
        </w:tc>
        <w:tc>
          <w:tcPr>
            <w:tcW w:type="dxa" w:w="44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总体随m改变；无原m20和耗时曲线</w:t>
            </w:r>
          </w:p>
        </w:tc>
      </w:tr>
      <w:tr>
        <w:trPr>
          <w:cantSplit/>
        </w:trPr>
        <w:tc>
          <w:tcPr>
            <w:tcW w:type="dxa" w:w="13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Fig4</w:t>
            </w:r>
          </w:p>
        </w:tc>
        <w:tc>
          <w:tcPr>
            <w:tcW w:type="dxa" w:w="37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240配对点对 × 三方法</w:t>
            </w:r>
          </w:p>
        </w:tc>
        <w:tc>
          <w:tcPr>
            <w:tcW w:type="dxa" w:w="44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20R模型；无约50000原样点对</w:t>
            </w:r>
          </w:p>
        </w:tc>
      </w:tr>
      <w:tr>
        <w:trPr>
          <w:cantSplit/>
        </w:trPr>
        <w:tc>
          <w:tcPr>
            <w:tcW w:type="dxa" w:w="13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Fig5</w:t>
            </w:r>
          </w:p>
        </w:tc>
        <w:tc>
          <w:tcPr>
            <w:tcW w:type="dxa" w:w="37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每方法384条距离变化记录</w:t>
            </w:r>
          </w:p>
        </w:tc>
        <w:tc>
          <w:tcPr>
            <w:tcW w:type="dxa" w:w="44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局部扰动；非原空间采样</w:t>
            </w:r>
          </w:p>
        </w:tc>
      </w:tr>
      <w:tr>
        <w:trPr>
          <w:cantSplit/>
        </w:trPr>
        <w:tc>
          <w:tcPr>
            <w:tcW w:type="dxa" w:w="13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Table I</w:t>
            </w:r>
          </w:p>
        </w:tc>
        <w:tc>
          <w:tcPr>
            <w:tcW w:type="dxa" w:w="37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50次20R配对规划；空间单路径证书</w:t>
            </w:r>
          </w:p>
        </w:tc>
        <w:tc>
          <w:tcPr>
            <w:tcW w:type="dxa" w:w="44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6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无500次每组或原22500统计</w:t>
            </w:r>
          </w:p>
        </w:tc>
      </w:tr>
      <w:tr>
        <w:trPr>
          <w:cantSplit/>
        </w:trPr>
        <w:tc>
          <w:tcPr>
            <w:tcW w:type="dxa" w:w="13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Table II</w:t>
            </w:r>
          </w:p>
        </w:tc>
        <w:tc>
          <w:tcPr>
            <w:tcW w:type="dxa" w:w="37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节点、局部检查、路径和可见性实测</w:t>
            </w:r>
          </w:p>
        </w:tc>
        <w:tc>
          <w:tcPr>
            <w:tcW w:type="dxa" w:w="44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非原环境II Bi RRT同机指标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11 复现资产与研究局限</w:t>
      </w:r>
    </w:p>
    <w:p>
      <w:r>
        <w:t>完整覆盖CSV继承原211个义务行及所有248个历史列，再追加当前范围、状态、证据和局限。实际主义务编号为P4 T01至T30，旧任务标题所称29项不用于删行。环境VI只读归档；原22500次是论文事实，18000次是已取消历史计划，50次是当前主配对规划调用，三者不得互换。</w:t>
      </w:r>
    </w:p>
    <w:p>
      <w:pPr>
        <w:pStyle w:val="Heading2"/>
      </w:pPr>
      <w:r>
        <w:t>11.1 重跑入口</w:t>
      </w:r>
    </w:p>
    <w:p>
      <w:r>
        <w:t>安装requirements-p4-three-methods.txt中的研究依赖后，在仓库根目录执行以下入口。规划脚本使用固定配置且拒绝覆盖已有输出，须指定新的结果目录；绘图与报告脚本拒绝覆盖已有交付，以下命令均另选新输出路径；墙钟预算会使不同机器上的截断轨迹有所差异。图表脚本只读取保存数据，报告构建需要独立验证结果。</w:t>
      </w:r>
    </w:p>
    <w:p>
      <w:r>
        <w:rPr>
          <w:rFonts w:ascii="DejaVu Sans Mono" w:hAnsi="DejaVu Sans Mono"/>
          <w:sz w:val="16"/>
        </w:rPr>
        <w:t>python3 -m unittest tests.test_p4_comparison_model tests.test_p4_comparison_strategies</w:t>
      </w:r>
    </w:p>
    <w:p>
      <w:r>
        <w:rPr>
          <w:rFonts w:ascii="DejaVu Sans Mono" w:hAnsi="DejaVu Sans Mono"/>
          <w:sz w:val="16"/>
        </w:rPr>
        <w:t>python3 scripts/p4_d081_stability_pilot.py --output results/20261022_D082_replay_example01</w:t>
      </w:r>
    </w:p>
    <w:p>
      <w:r>
        <w:rPr>
          <w:rFonts w:ascii="DejaVu Sans Mono" w:hAnsi="DejaVu Sans Mono"/>
          <w:sz w:val="16"/>
        </w:rPr>
        <w:t>python3 scripts/p4_d082/independent_planar_validation.py --output results/20261022_D082_validation_replay01</w:t>
      </w:r>
    </w:p>
    <w:p>
      <w:r>
        <w:rPr>
          <w:rFonts w:ascii="DejaVu Sans Mono" w:hAnsi="DejaVu Sans Mono"/>
          <w:sz w:val="16"/>
        </w:rPr>
        <w:t>python3 scripts/p4_d082/audit_spatial_saved_20261022.py --output reports/P4_spatial_replay01.json</w:t>
      </w:r>
    </w:p>
    <w:p>
      <w:r>
        <w:rPr>
          <w:rFonts w:ascii="DejaVu Sans Mono" w:hAnsi="DejaVu Sans Mono"/>
          <w:sz w:val="16"/>
        </w:rPr>
        <w:t>python3 scripts/p4_d082/build_research_figures.py --output work/d082_figures_replay01</w:t>
      </w:r>
    </w:p>
    <w:p>
      <w:r>
        <w:rPr>
          <w:rFonts w:ascii="DejaVu Sans Mono" w:hAnsi="DejaVu Sans Mono"/>
          <w:sz w:val="16"/>
        </w:rPr>
        <w:t>$ARTIFACT_PY scripts/p4_d082/build_chinese_research_report.py --output reports/P4_report_replay01.docx</w:t>
      </w:r>
    </w:p>
    <w:p>
      <w:r>
        <w:t>ARTIFACT_PY须指向Codex内置Python，精确路径见交付README。独立路径验证器始终复核冻结的D081五十调用，输出参数不会将其输入改成上一行的新规划目录。主数据目录为results/20261019_D081_stability_pilot，投影与局部连接数据为results/20261019_D081_numeric_pilot；本轮独立几何验证为results/20261022_D082_independent_planar01，算法保存分析为results/20261022_D082_saved_analysis01。scripts/p4_d082内含独立核验、真实绘图和报告构建入口。精确命令、原始哈希和新增数值计数另见交付README。</w:t>
      </w:r>
    </w:p>
    <w:p>
      <w:pPr>
        <w:pStyle w:val="Heading2"/>
      </w:pPr>
      <w:r>
        <w:t>11.2 仍未建立的结论</w:t>
      </w:r>
    </w:p>
    <w:p>
      <w:r>
        <w:t>未认证连续CCD、原作者原生TCP几何等价、原六环境全部组合、原500次统计、m20规划耗时或PCS在窄通道中的普遍优势。RSS随机完整路径仍失败。20R轨迹未建动力学、力矩、速度、抓持滑移或执行误差模型，几何路径不能直接作为机器人可执行指令。</w:t>
      </w:r>
    </w:p>
    <w:p>
      <w:r>
        <w:t>本次50调用先前实际墙钟40.917 s，探索数值试验90.386 s；它们是历史运行耗时，不算作本轮重跑。独立验证和保存分析的本轮墙钟、CPU由各自summary记录。未启动新的作者求解、VI、Isaac或硬件进程，未扩大正式统计。</w:t>
      </w:r>
    </w:p>
    <w:p>
      <w:r>
        <w:br w:type="page"/>
      </w:r>
    </w:p>
    <w:p>
      <w:pPr>
        <w:pStyle w:val="Heading1"/>
      </w:pPr>
      <w:r>
        <w:t>12 面向双FR3协同搬运的潜在应用</w:t>
      </w:r>
    </w:p>
    <w:p>
      <w:pPr>
        <w:pStyle w:val="Heading2"/>
      </w:pPr>
      <w:r>
        <w:t>12.1 刚性共同抓持下的闭链规划接口</w:t>
      </w:r>
    </w:p>
    <w:p>
      <w:r>
        <w:t>原论文假设物体与抓手组成刚体，适合共同搬运阶段的几何路径约束。对双FR3关节q_L、q_R，设固定抓持变换G_L、G_R为TCP到物体的标定关系，可用两侧推算的物体位姿相等定义6维残差。</w:t>
      </w:r>
    </w:p>
    <w:p>
      <w:pPr>
        <w:spacing w:before="40" w:after="80"/>
        <w:jc w:val="center"/>
      </w:pPr>
      <m:oMath>
        <m:sSup>
          <m:e>
            <m:sSub>
              <m:e>
                <m:r>
                  <m:t>T</m:t>
                </m:r>
              </m:e>
              <m:sub>
                <m:r>
                  <m:t>WO</m:t>
                </m:r>
              </m:sub>
            </m:sSub>
          </m:e>
          <m:sup>
            <m:r>
              <m:t>L</m:t>
            </m:r>
          </m:sup>
        </m:sSup>
        <m:r>
          <m:t>(</m:t>
        </m:r>
        <m:sSub>
          <m:e>
            <m:r>
              <m:t>q</m:t>
            </m:r>
          </m:e>
          <m:sub>
            <m:r>
              <m:t>L</m:t>
            </m:r>
          </m:sub>
        </m:sSub>
        <m:r>
          <m:t>) = </m:t>
        </m:r>
        <m:sSub>
          <m:e>
            <m:r>
              <m:t>T</m:t>
            </m:r>
          </m:e>
          <m:sub>
            <m:r>
              <m:t>WL</m:t>
            </m:r>
          </m:sub>
        </m:sSub>
        <m:r>
          <m:t>(</m:t>
        </m:r>
        <m:sSub>
          <m:e>
            <m:r>
              <m:t>q</m:t>
            </m:r>
          </m:e>
          <m:sub>
            <m:r>
              <m:t>L</m:t>
            </m:r>
          </m:sub>
        </m:sSub>
        <m:r>
          <m:t>) </m:t>
        </m:r>
        <m:sSub>
          <m:e>
            <m:r>
              <m:t>G</m:t>
            </m:r>
          </m:e>
          <m:sub>
            <m:r>
              <m:t>L</m:t>
            </m:r>
          </m:sub>
        </m:sSub>
      </m:oMath>
    </w:p>
    <w:p>
      <w:pPr>
        <w:spacing w:before="40" w:after="80"/>
        <w:jc w:val="center"/>
      </w:pPr>
      <m:oMath>
        <m:sSup>
          <m:e>
            <m:sSub>
              <m:e>
                <m:r>
                  <m:t>T</m:t>
                </m:r>
              </m:e>
              <m:sub>
                <m:r>
                  <m:t>WO</m:t>
                </m:r>
              </m:sub>
            </m:sSub>
          </m:e>
          <m:sup>
            <m:r>
              <m:t>R</m:t>
            </m:r>
          </m:sup>
        </m:sSup>
        <m:r>
          <m:t>(</m:t>
        </m:r>
        <m:sSub>
          <m:e>
            <m:r>
              <m:t>q</m:t>
            </m:r>
          </m:e>
          <m:sub>
            <m:r>
              <m:t>R</m:t>
            </m:r>
          </m:sub>
        </m:sSub>
        <m:r>
          <m:t>) = </m:t>
        </m:r>
        <m:sSub>
          <m:e>
            <m:r>
              <m:t>T</m:t>
            </m:r>
          </m:e>
          <m:sub>
            <m:r>
              <m:t>WR</m:t>
            </m:r>
          </m:sub>
        </m:sSub>
        <m:r>
          <m:t>(</m:t>
        </m:r>
        <m:sSub>
          <m:e>
            <m:r>
              <m:t>q</m:t>
            </m:r>
          </m:e>
          <m:sub>
            <m:r>
              <m:t>R</m:t>
            </m:r>
          </m:sub>
        </m:sSub>
        <m:r>
          <m:t>) </m:t>
        </m:r>
        <m:sSub>
          <m:e>
            <m:r>
              <m:t>G</m:t>
            </m:r>
          </m:e>
          <m:sub>
            <m:r>
              <m:t>R</m:t>
            </m:r>
          </m:sub>
        </m:sSub>
      </m:oMath>
    </w:p>
    <w:p>
      <w:pPr>
        <w:spacing w:before="40" w:after="80"/>
        <w:jc w:val="center"/>
      </w:pPr>
      <m:oMath>
        <m:sSub>
          <m:e>
            <m:r>
              <m:t>C</m:t>
            </m:r>
          </m:e>
          <m:sub>
            <m:r>
              <m:t>FR3</m:t>
            </m:r>
          </m:sub>
        </m:sSub>
        <m:r>
          <m:t>(q) = </m:t>
        </m:r>
        <m:sSup>
          <m:e>
            <m:r>
              <m:t>Log(</m:t>
            </m:r>
            <m:sSup>
              <m:e>
                <m:r>
                  <m:t>(</m:t>
                </m:r>
                <m:sSup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WO</m:t>
                        </m:r>
                      </m:sub>
                    </m:sSub>
                  </m:e>
                  <m:sup>
                    <m:r>
                      <m:t>L</m:t>
                    </m:r>
                  </m:sup>
                </m:sSup>
                <m:r>
                  <m:t>(</m:t>
                </m:r>
                <m:sSub>
                  <m:e>
                    <m:r>
                      <m:t>q</m:t>
                    </m:r>
                  </m:e>
                  <m:sub>
                    <m:r>
                      <m:t>L</m:t>
                    </m:r>
                  </m:sub>
                </m:sSub>
                <m:r>
                  <m:t>))</m:t>
                </m:r>
              </m:e>
              <m:sup>
                <m:r>
                  <m:t>−1</m:t>
                </m:r>
              </m:sup>
            </m:sSup>
            <m:r>
              <m:t> </m:t>
            </m:r>
            <m:sSup>
              <m:e>
                <m:sSub>
                  <m:e>
                    <m:r>
                      <m:t>T</m:t>
                    </m:r>
                  </m:e>
                  <m:sub>
                    <m:r>
                      <m:t>WO</m:t>
                    </m:r>
                  </m:sub>
                </m:sSub>
              </m:e>
              <m:sup>
                <m:r>
                  <m:t>R</m:t>
                </m:r>
              </m:sup>
            </m:sSup>
            <m:r>
              <m:t>(</m:t>
            </m:r>
            <m:sSub>
              <m:e>
                <m:r>
                  <m:t>q</m:t>
                </m:r>
              </m:e>
              <m:sub>
                <m:r>
                  <m:t>R</m:t>
                </m:r>
              </m:sub>
            </m:sSub>
            <m:r>
              <m:t>))</m:t>
            </m:r>
          </m:e>
          <m:sup>
            <m:r>
              <m:t>∨</m:t>
            </m:r>
          </m:sup>
        </m:sSup>
        <m:r>
          <m:t> = 0</m:t>
        </m:r>
      </m:oMath>
      <w:r>
        <w:t xml:space="preserve">   (13)</w:t>
      </w:r>
    </w:p>
    <w:p>
      <w:r>
        <w:t>将两臂14维关节状态输入运动学模块，输出残差与6×14雅可比，再由NR、局部连接和采样规划器生成关节几何路径。坐标扰动方向、Log的平移旋转定义及单位必须一致；本次平面Jacobian数值资格不能替代FR3的独立差分资格。MoveIt模型可提供FK和实际关节界，FCL接口提供机器人、吸盘、物体及场景障碍的统一碰撞判定。</w:t>
      </w:r>
    </w:p>
    <w:p>
      <w:pPr>
        <w:pStyle w:val="Heading2"/>
      </w:pPr>
      <w:r>
        <w:t>12.2 NR与RBS的适用前提</w:t>
      </w:r>
    </w:p>
    <w:p>
      <w:r>
        <w:t>NR对冗余7R臂不要求闭式IK，是优先考虑的可扩展机制，但关节限位和奇异邻域可能使投影漂移或失败。未来需要独立记录投影输入、位移、秩、闭链误差和限位，并在相同FR3任务上比较限步或阻尼版本；这些是PROPOSED方案，当前未实现。</w:t>
      </w:r>
    </w:p>
    <w:p>
      <w:r>
        <w:t>RBS可检查共享物体运输途中每段局部运动，输入两个闭链构型、投影器和碰撞接口，输出带来源记录的离散连接或具体拒绝原因。执行前还需时间参数化、速度加速度限制、连续碰撞或有保守界的扫掠验证，以及执行中实时闭链误差监测。</w:t>
      </w:r>
    </w:p>
    <w:p>
      <w:pPr>
        <w:pStyle w:val="Heading2"/>
      </w:pPr>
      <w:r>
        <w:t>12.3 PCS与RSS的额外困难</w:t>
      </w:r>
    </w:p>
    <w:p>
      <w:r>
        <w:t>FR3单臂7R冗余，原论文6R非冗余被动臂的有限闭式分支不能直接搬用。若固定冗余参数形成6关节子问题，必须证明该子链的IK可得、分支连续且覆盖足够工作空间；只能增加优化初值不等于真正PCS。当前20R最终路径无换链优势，空间III的4次角色切换只能作为实现机制的证据，不能预测双FR3性能提升。</w:t>
      </w:r>
    </w:p>
    <w:p>
      <w:r>
        <w:t>RSS还需推导所选FR3被动子链的真实秩亏集合，给出可闭合、限位合法、碰撞可行的随机采样器。当前2304次构造失败提醒我们，代数奇异条件远不足以形成可用目标。未完成这些前置条件时，不建议把RSS作为搬运主规划器。</w:t>
      </w:r>
    </w:p>
    <w:p>
      <w:r>
        <w:br w:type="page"/>
      </w:r>
    </w:p>
    <w:p>
      <w:pPr>
        <w:pStyle w:val="Heading1"/>
      </w:pPr>
      <w:r>
        <w:t>13 接触阶段边界与后续研究问题</w:t>
      </w:r>
    </w:p>
    <w:p>
      <w:pPr>
        <w:pStyle w:val="Heading2"/>
      </w:pPr>
      <w:r>
        <w:t>13.1 吸盘柔性与闭链假设</w:t>
      </w:r>
    </w:p>
    <w:p>
      <w:r>
        <w:t>双侧吸盘与物体之间可能有柔性变形、滑移、吸附失效和内部载荷。式13只表达刚性几何一致性，不能保证抓持力闭合、吸力容量或内部应力受限。未来接口需要同时提供关节状态、标定抓持变换、物体位姿估计、吸附状态及可信的力或接触信息；传感数据来源与控制器读数必须分离于仿真真值。</w:t>
      </w:r>
    </w:p>
    <w:p>
      <w:r>
        <w:t>若抓持变换随力而变化，可研究显式柔性接触状态或允许受物理约束的小残差集合，但这将改变原论文C(q)=0的模型。应单独推导弹性与内力关系并设版本，不能仅扩大闭链容差来消除执行误差。该问题属于后续研究，当前未给出控制稳定性或载荷安全结论。</w:t>
      </w:r>
    </w:p>
    <w:p>
      <w:pPr>
        <w:pStyle w:val="Heading2"/>
      </w:pPr>
      <w:r>
        <w:t>13.2 单臂推进阶段的不同约束</w:t>
      </w:r>
    </w:p>
    <w:p>
      <w:r>
        <w:t>在右臂后侧吸持并向车厢推进、左臂停泊的阶段，双臂共享刚性物体的闭链已不存在。可借鉴NR与RBS处理末端姿态、接触面或导向约束，但约束必须由该阶段实际接触模式重建。接触的单边性、摩擦、卡滞与力位控制不是原P4几何算法已经解决的问题。</w:t>
      </w:r>
    </w:p>
    <w:p>
      <w:pPr>
        <w:pStyle w:val="Heading2"/>
      </w:pPr>
      <w:r>
        <w:t>13.3 候选验证顺序</w:t>
      </w:r>
    </w:p>
    <w:p>
      <w:r>
        <w:t>未来可先固定FR3运动学、抓持变换和统一碰撞几何，建立具有独立可行路径的共同搬运任务；然后用相同起终点、环境和预算比较NR、兼容固定被动求解及真实PCS。若没有有限闭式子链，就将PCS列为不适用，不以另一种数值投影冒称PCS。困难障碍需保留可行路径证据，并分开报告树换链、最终解换链和实际执行误差。</w:t>
      </w:r>
    </w:p>
    <w:p>
      <w:r>
        <w:t>几何规划合格后，再由后续控制研究检验时间参数化、协同跟踪、吸盘载荷、内部力和失效恢复。候选对照应记录成功与失败、CPU和墙钟、投影成本、路径长度、最小净距及闭链误差。只有这些独立证据取得后，才能判断P4机制是否对双FR3系统带来实际收益。本次只完成方法分析，没有实现FR3适配。</w:t>
      </w:r>
    </w:p>
    <w:p>
      <w:pPr>
        <w:pStyle w:val="Heading2"/>
      </w:pPr>
      <w:r>
        <w:t>参考文献与数据入口</w:t>
      </w:r>
    </w:p>
    <w:p>
      <w:pPr>
        <w:spacing w:line="240" w:lineRule="auto" w:after="60"/>
      </w:pPr>
      <w:r>
        <w:rPr>
          <w:sz w:val="18"/>
        </w:rPr>
        <w:t>[1] Sintov A, Borum A, Bretl T. IEEE RA L, 2018, 3(4): 2886–2893. DOI 10.1109/LRA.2018.2846806. 作者稿 https://avishaisintov.wordpress.com/wp-content/uploads/2018/06/sintov-pcs.pdf。</w:t>
      </w:r>
    </w:p>
    <w:p>
      <w:pPr>
        <w:spacing w:line="240" w:lineRule="auto" w:after="60"/>
      </w:pPr>
      <w:r>
        <w:rPr>
          <w:sz w:val="18"/>
        </w:rPr>
        <w:t>[2] 作者CKCplanning参考源码快照909bd72fff778aca8682c96f9eb86ae4eb75557b，来源https://github.com/avishais/CKCplanning。许可证边界和本地补丁见既有author_source_manifest；本报告不发布私有论文副本。</w:t>
      </w:r>
    </w:p>
    <w:p>
      <w:pPr>
        <w:spacing w:line="240" w:lineRule="auto" w:after="60"/>
      </w:pPr>
      <w:r>
        <w:rPr>
          <w:sz w:val="18"/>
        </w:rPr>
        <w:t>[3] 本研究源码与原始数据 https://github.com/dreamerToTOE/dual-arm-coordinated-manipulation-reproduction ，分支p4-full-reproduction-pcs-study。完整证据路径、版本和哈希见P4_D082_DELIVERY_README_20261022.md。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P4闭链规划算法与完整虚拟仿真研究报告</dc:title>
  <dc:subject>RSS PCS NR RBS及独立离散路径验证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