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P4 D084 证据整合最终报告</w:t>
      </w:r>
    </w:p>
    <w:p>
      <w:pPr>
        <w:jc w:val="center"/>
      </w:pPr>
      <w:r>
        <w:rPr>
          <w:color w:val="000000"/>
          <w:sz w:val="26"/>
        </w:rPr>
        <w:t>闭链规划 受控分划实验与双 ABB 空间离散证据</w:t>
      </w:r>
    </w:p>
    <w:p>
      <w:pPr>
        <w:spacing w:before="360"/>
        <w:jc w:val="center"/>
      </w:pPr>
      <w:r>
        <w:rPr>
          <w:sz w:val="20"/>
        </w:rPr>
        <w:t>版本：2026-10-25  |  分支：p4-full-reproduction-pcs-study</w:t>
      </w:r>
    </w:p>
    <w:p>
      <w:pPr>
        <w:spacing w:after="100" w:line="269" w:lineRule="auto"/>
      </w:pPr>
      <w:r>
        <w:t>我研究了全驱动转动关节闭链的采样规划，并在重建 20R 机构上完成了带闭链、限位和碰撞检查的端到端虚拟任务。当前保存数据没有显示 PCS 相对 NR 或兼容固定分划的优势。双 ABB II/III 的空间路径及四次角色切换得到离散证据支持，仍不构成原生 TCP 等价或连续安全认证。本文整合 D082 主实验与 D084 新增整理结果；全文复现、动力学和硬件执行仍未完成。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304"/>
        <w:gridCol w:w="5669"/>
      </w:tblGrid>
      <w:tr>
        <w:trPr>
          <w:tblHeader/>
          <w:cantSplit/>
        </w:trPr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/>
                <w:color w:val="FFFFFF"/>
                <w:sz w:val="18"/>
              </w:rPr>
              <w:t>交付状态</w:t>
            </w:r>
          </w:p>
        </w:tc>
        <w:tc>
          <w:tcPr>
            <w:tcW w:type="dxa" w:w="566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/>
                <w:color w:val="FFFFFF"/>
                <w:sz w:val="18"/>
              </w:rPr>
              <w:t>主要证据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S0 安全恢复</w:t>
            </w:r>
          </w:p>
        </w:tc>
        <w:tc>
          <w:tcPr>
            <w:tcW w:type="dxa" w:w="1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完成</w:t>
            </w:r>
          </w:p>
        </w:tc>
        <w:tc>
          <w:tcPr>
            <w:tcW w:type="dxa" w:w="566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本地未提交 D083 资产审计、SHA、进程与预算台账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S1 ABB II</w:t>
            </w:r>
          </w:p>
        </w:tc>
        <w:tc>
          <w:tcPr>
            <w:tcW w:type="dxa" w:w="1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完成</w:t>
            </w:r>
          </w:p>
        </w:tc>
        <w:tc>
          <w:tcPr>
            <w:tcW w:type="dxa" w:w="566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4 条保存路径、3D 图、证书绑定与离散限制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S2 ABB III</w:t>
            </w:r>
          </w:p>
        </w:tc>
        <w:tc>
          <w:tcPr>
            <w:tcW w:type="dxa" w:w="1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完成</w:t>
            </w:r>
          </w:p>
        </w:tc>
        <w:tc>
          <w:tcPr>
            <w:tcW w:type="dxa" w:w="566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649 状态、14 边、4 次主动臂角色切换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S3 受控 Fig.3</w:t>
            </w:r>
          </w:p>
        </w:tc>
        <w:tc>
          <w:tcPr>
            <w:tcW w:type="dxa" w:w="1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完成</w:t>
            </w:r>
          </w:p>
        </w:tc>
        <w:tc>
          <w:tcPr>
            <w:tcW w:type="dxa" w:w="566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96 端点、180 对、2880 候选、900 有限策略调用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S4 困难诊断</w:t>
            </w:r>
          </w:p>
        </w:tc>
        <w:tc>
          <w:tcPr>
            <w:tcW w:type="dxa" w:w="1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完成</w:t>
            </w:r>
          </w:p>
        </w:tc>
        <w:tc>
          <w:tcPr>
            <w:tcW w:type="dxa" w:w="566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36 注册调用、35 续跑、1 UNKNOWN、29 独立成功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S5 最终报告</w:t>
            </w:r>
          </w:p>
        </w:tc>
        <w:tc>
          <w:tcPr>
            <w:tcW w:type="dxa" w:w="1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本文件</w:t>
            </w:r>
          </w:p>
        </w:tc>
        <w:tc>
          <w:tcPr>
            <w:tcW w:type="dxa" w:w="566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等待用户审核；不自动进入其他研究范围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一 结论与证据等级</w:t>
      </w:r>
    </w:p>
    <w:p>
      <w:pPr>
        <w:spacing w:after="100" w:line="269" w:lineRule="auto"/>
      </w:pPr>
      <w:r>
        <w:t>核心结论：在当前冻结的重建平面 20R 条件中，PCS 没有显示相对 NR 或兼容固定分划的优势；受控 Fig.3 只描述一个相关、有限的保存端点总体。ABB II 和 ABB III 的空间材料证明了保存离散路径和机制图示，但不证明原生 TCP 等价或连续扫掠安全。S4 的三个条件均未建立真正窄通道或困难障碍，因而不能把有限诊断升级为普遍困难场景结论。</w:t>
      </w:r>
    </w:p>
    <w:p>
      <w:pPr>
        <w:spacing w:after="100" w:line="269" w:lineRule="auto"/>
      </w:pPr>
      <w:r>
        <w:t>证据层级：D082 主统计和独立离散验证属于已交付的重建证据；S1–S2 是保存路径可视化；S3 是冻结共享总体的受控局部连接实验；S4 是一次有预算界的确定性端点诊断。本项目对原文 Table I 与六环境正式统计的复现仍为 PARTIAL；本项目 D082 重建 RSS 随机完整规划为 0/10、FAILED。这里不对原作者实验作失败判定。</w:t>
      </w:r>
    </w:p>
    <w:p>
      <w:pPr>
        <w:pStyle w:val="Heading1"/>
        <w:keepNext/>
      </w:pPr>
      <w:r>
        <w:t>二 原论文问题与重建模型</w:t>
      </w:r>
    </w:p>
    <w:p>
      <w:pPr>
        <w:spacing w:after="100" w:line="269" w:lineRule="auto"/>
      </w:pPr>
      <w:r>
        <w:t>Sintov、Borum 与 Bretl 的比较研究讨论如何在全驱动转动关节闭链的低维约束流形上采样、投影并连接构型 [1]。所有关节均有执行器；“被动链”只是解析求解时的角色。闭链可行集与避障有效集分开定义，规划路径必须连接指定端点并始终位于有效集内。以下沿用 D082 可编辑 Word 公式，其编号与 D082 一致。</w:t>
      </w:r>
    </w:p>
    <w:p>
      <w:pPr>
        <w:spacing w:before="40" w:after="80"/>
        <w:jc w:val="center"/>
      </w:pPr>
      <m:oMath>
        <m:sSub>
          <m:e>
            <m:r>
              <m:t>C</m:t>
            </m:r>
          </m:e>
          <m:sub>
            <m:r>
              <m:t>cl</m:t>
            </m:r>
          </m:sub>
        </m:sSub>
        <m:r>
          <m:t> = {q ∈ 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t> : C(q) = 0},   </m:t>
        </m:r>
        <m:sSub>
          <m:e>
            <m:r>
              <m:t>C</m:t>
            </m:r>
          </m:e>
          <m:sub>
            <m:r>
              <m:t>o</m:t>
            </m:r>
          </m:sub>
        </m:sSub>
        <m:r>
          <m:t> = </m:t>
        </m:r>
        <m:sSub>
          <m:e>
            <m:r>
              <m:t>C</m:t>
            </m:r>
          </m:e>
          <m:sub>
            <m:r>
              <m:t>cl</m:t>
            </m:r>
          </m:sub>
        </m:sSub>
        <m:r>
          <m:t> ∩ </m:t>
        </m:r>
        <m:sSub>
          <m:e>
            <m:r>
              <m:t>C</m:t>
            </m:r>
          </m:e>
          <m:sub>
            <m:r>
              <m:t>free</m:t>
            </m:r>
          </m:sub>
        </m:sSub>
      </m:oMath>
      <w:r>
        <w:t xml:space="preserve">   (1)</w:t>
      </w:r>
    </w:p>
    <w:p>
      <w:pPr>
        <w:spacing w:before="40" w:after="80"/>
        <w:jc w:val="center"/>
      </w:pPr>
      <m:oMath>
        <m:r>
          <m:t>α : [0,1] → </m:t>
        </m:r>
        <m:sSub>
          <m:e>
            <m:r>
              <m:t>C</m:t>
            </m:r>
          </m:e>
          <m:sub>
            <m:r>
              <m:t>o</m:t>
            </m:r>
          </m:sub>
        </m:sSub>
        <m:r>
          <m:t>,   α(0) = </m:t>
        </m:r>
        <m:sSub>
          <m:e>
            <m:r>
              <m:t>q</m:t>
            </m:r>
          </m:e>
          <m:sub>
            <m:r>
              <m:t>s</m:t>
            </m:r>
          </m:sub>
        </m:sSub>
        <m:r>
          <m:t>,   α(1) = </m:t>
        </m:r>
        <m:sSub>
          <m:e>
            <m:r>
              <m:t>q</m:t>
            </m:r>
          </m:e>
          <m:sub>
            <m:r>
              <m:t>g</m:t>
            </m:r>
          </m:sub>
        </m:sSub>
      </m:oMath>
      <w:r>
        <w:t xml:space="preserve">   (2)</w:t>
      </w:r>
    </w:p>
    <w:p>
      <w:pPr>
        <w:pStyle w:val="Heading2"/>
        <w:keepNext/>
      </w:pPr>
      <w:r>
        <w:t>平面闭链与 NR 投影</w:t>
      </w:r>
    </w:p>
    <w:p>
      <w:pPr>
        <w:spacing w:after="100" w:line="269" w:lineRule="auto"/>
      </w:pPr>
      <w:r>
        <w:t>重建机构含 19 根等长移动杆和第 20 个零长度转动法兰，固定地杆长 1 m。累积角决定末端位置，总关节角决定闭链姿态。平面约束为三维；空间单闭环通常为六维。</w:t>
      </w:r>
    </w:p>
    <w:p>
      <w:pPr>
        <w:spacing w:before="40" w:after="80"/>
        <w:jc w:val="center"/>
      </w:pP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t> = </m:t>
        </m:r>
        <m:nary>
          <m:naryPr>
            <m:chr m:val="∑"/>
            <m:limLoc m:val="subSup"/>
          </m:naryPr>
          <m:sub>
            <m:r>
              <m:t>j=1</m:t>
            </m:r>
          </m:sub>
          <m:sup>
            <m:r>
              <m:t>i</m:t>
            </m:r>
          </m:sup>
          <m:e>
            <m:sSub>
              <m:e>
                <m:r>
                  <m:t>q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  (3)</w:t>
      </w:r>
    </w:p>
    <w:p>
      <w:pPr>
        <w:spacing w:before="40" w:after="80"/>
        <w:jc w:val="center"/>
      </w:pPr>
      <m:oMath>
        <m:r>
          <m:t>x = </m:t>
        </m:r>
        <m:nary>
          <m:naryPr>
            <m:chr m:val="∑"/>
            <m:limLoc m:val="subSup"/>
          </m:naryPr>
          <m:sub>
            <m:r>
              <m:t>i=1</m:t>
            </m:r>
          </m:sub>
          <m:sup>
            <m:r>
              <m:t>19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  <m:r>
              <m:t> cos 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e>
        </m:nary>
        <m:r>
          <m:t>,   y = </m:t>
        </m:r>
        <m:nary>
          <m:naryPr>
            <m:chr m:val="∑"/>
            <m:limLoc m:val="subSup"/>
          </m:naryPr>
          <m:sub>
            <m:r>
              <m:t>i=1</m:t>
            </m:r>
          </m:sub>
          <m:sup>
            <m:r>
              <m:t>19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  <m:r>
              <m:t> sin 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e>
        </m:nary>
      </m:oMath>
    </w:p>
    <w:p>
      <w:pPr>
        <w:spacing w:before="40" w:after="80"/>
        <w:jc w:val="center"/>
      </w:pPr>
      <m:oMath>
        <m:r>
          <m:t>C(q) = </m:t>
        </m:r>
        <m:sSup>
          <m:e>
            <m:r>
              <m:t>[x − 1, y, wrap(</m:t>
            </m:r>
            <m:nary>
              <m:naryPr>
                <m:chr m:val="∑"/>
                <m:limLoc m:val="subSup"/>
              </m:naryPr>
              <m:sub>
                <m:r>
                  <m:t>j=1</m:t>
                </m:r>
              </m:sub>
              <m:sup>
                <m:r>
                  <m:t>20</m:t>
                </m:r>
              </m:sup>
              <m:e>
                <m:sSub>
                  <m:e>
                    <m:r>
                      <m:t>q</m:t>
                    </m:r>
                  </m:e>
                  <m:sub>
                    <m:r>
                      <m:t>j</m:t>
                    </m:r>
                  </m:sub>
                </m:sSub>
              </m:e>
            </m:nary>
            <m:r>
              <m:t>)]</m:t>
            </m:r>
          </m:e>
          <m:sup>
            <m:r>
              <m:t>T</m:t>
            </m:r>
          </m:sup>
        </m:sSup>
      </m:oMath>
      <w:r>
        <w:t xml:space="preserve">   (4)</w:t>
      </w:r>
    </w:p>
    <w:p>
      <w:pPr>
        <w:spacing w:before="40" w:after="80"/>
        <w:jc w:val="center"/>
      </w:pPr>
      <m:oMath>
        <m:sSub>
          <m:e>
            <m:r>
              <m:t>J</m:t>
            </m:r>
          </m:e>
          <m:sub>
            <m:r>
              <m:t>x,j</m:t>
            </m:r>
          </m:sub>
        </m:sSub>
        <m:r>
          <m:t> = −</m:t>
        </m:r>
        <m:nary>
          <m:naryPr>
            <m:chr m:val="∑"/>
            <m:limLoc m:val="subSup"/>
          </m:naryPr>
          <m:sub>
            <m:r>
              <m:t>i=j</m:t>
            </m:r>
          </m:sub>
          <m:sup>
            <m:r>
              <m:t>19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  <m:r>
              <m:t> sin 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e>
        </m:nary>
        <m:r>
          <m:t>,   </m:t>
        </m:r>
        <m:sSub>
          <m:e>
            <m:r>
              <m:t>J</m:t>
            </m:r>
          </m:e>
          <m:sub>
            <m:r>
              <m:t>y,j</m:t>
            </m:r>
          </m:sub>
        </m:sSub>
        <m:r>
          <m:t> = </m:t>
        </m:r>
        <m:nary>
          <m:naryPr>
            <m:chr m:val="∑"/>
            <m:limLoc m:val="subSup"/>
          </m:naryPr>
          <m:sub>
            <m:r>
              <m:t>i=j</m:t>
            </m:r>
          </m:sub>
          <m:sup>
            <m:r>
              <m:t>19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  <m:r>
              <m:t> cos 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  (5)</w:t>
      </w:r>
    </w:p>
    <w:p>
      <w:pPr>
        <w:spacing w:before="40" w:after="80"/>
        <w:jc w:val="center"/>
      </w:pPr>
      <m:oMath>
        <m:sSub>
          <m:e>
            <m:r>
              <m:t>J</m:t>
            </m:r>
          </m:e>
          <m:sub>
            <m:r>
              <m:t>θ,j</m:t>
            </m:r>
          </m:sub>
        </m:sSub>
        <m:r>
          <m:t> = 1;   j = 1, …, 20</m:t>
        </m:r>
      </m:oMath>
    </w:p>
    <w:p>
      <w:pPr>
        <w:spacing w:before="40" w:after="80"/>
        <w:jc w:val="center"/>
      </w:pPr>
      <m:oMath>
        <m:sSub>
          <m:e>
            <m:r>
              <m:t>q</m:t>
            </m:r>
          </m:e>
          <m:sub>
            <m:r>
              <m:t>k+1</m:t>
            </m:r>
          </m:sub>
        </m:sSub>
        <m:r>
          <m:t> = wrap(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t> − V </m:t>
        </m:r>
        <m:sSup>
          <m:e>
            <m:r>
              <m:t>Σ</m:t>
            </m:r>
          </m:e>
          <m:sup>
            <m:r>
              <m:t>†</m:t>
            </m:r>
          </m:sup>
        </m:sSup>
        <m:r>
          <m:t> </m:t>
        </m:r>
        <m:sSup>
          <m:e>
            <m:r>
              <m:t>U</m:t>
            </m:r>
          </m:e>
          <m:sup>
            <m:r>
              <m:t>T</m:t>
            </m:r>
          </m:sup>
        </m:sSup>
        <m:r>
          <m:t> C(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t>))</m:t>
        </m:r>
      </m:oMath>
      <w:r>
        <w:t xml:space="preserve">   (6)</w:t>
      </w:r>
    </w:p>
    <w:p>
      <w:pPr>
        <w:spacing w:after="100" w:line="269" w:lineRule="auto"/>
      </w:pPr>
      <w:r>
        <w:t>NR 在每次更新中线性化闭链残差，并用 SVD 伪逆求最小范数校正。阈值为 max(10⁻¹², 10⁻¹⁰σ_max)，最多 100 次更新；位置与角度分别按 10⁻⁸ m 和 10⁻⁸ rad 验收。实现无阻尼、无线搜索、无随机重启。角度包裹不是任意工业关节限位截断，也不能保证投影总能收敛。</w:t>
      </w:r>
    </w:p>
    <w:p>
      <w:pPr>
        <w:pStyle w:val="Heading2"/>
        <w:keepNext/>
      </w:pPr>
      <w:r>
        <w:t>APC 解析闭合与 PCS 分划切换</w:t>
      </w:r>
    </w:p>
    <w:p>
      <w:pPr>
        <w:spacing w:after="100" w:line="269" w:lineRule="auto"/>
      </w:pPr>
      <w:r>
        <w:t>APC 固定主动关节，用连续非冗余 3R 被动链的解析 IK 闭合剩余变量。去掉前后链变换后，先求腕点，再由余弦定理得到两条肘部分支；不可达输入按失败保留，不通过放宽工作空间获得成功。</w:t>
      </w:r>
    </w:p>
    <w:p>
      <w:pPr>
        <w:spacing w:before="40" w:after="80"/>
        <w:jc w:val="center"/>
      </w:pPr>
      <m:oMath>
        <m:sSub>
          <m:e>
            <m:r>
              <m:t>T</m:t>
            </m:r>
          </m:e>
          <m:sub>
            <m:r>
              <m:t>p</m:t>
            </m:r>
          </m:sub>
        </m:sSub>
        <m:r>
          <m:t> = </m:t>
        </m:r>
        <m:sSup>
          <m:e>
            <m:sSub>
              <m:e>
                <m:r>
                  <m:t>T</m:t>
                </m:r>
              </m:e>
              <m:sub>
                <m:r>
                  <m:t>prefix</m:t>
                </m:r>
              </m:sub>
            </m:sSub>
          </m:e>
          <m:sup>
            <m:r>
              <m:t>−1</m:t>
            </m:r>
          </m:sup>
        </m:sSup>
        <m:r>
          <m:t> </m:t>
        </m:r>
        <m:sSub>
          <m:e>
            <m:r>
              <m:t>T</m:t>
            </m:r>
          </m:e>
          <m:sub>
            <m:r>
              <m:t>target</m:t>
            </m:r>
          </m:sub>
        </m:sSub>
        <m:r>
          <m:t> </m:t>
        </m:r>
        <m:sSup>
          <m:e>
            <m:sSub>
              <m:e>
                <m:r>
                  <m:t>T</m:t>
                </m:r>
              </m:e>
              <m:sub>
                <m:r>
                  <m:t>suffix</m:t>
                </m:r>
              </m:sub>
            </m:sSub>
          </m:e>
          <m:sup>
            <m:r>
              <m:t>−1</m:t>
            </m:r>
          </m:sup>
        </m:sSup>
      </m:oMath>
      <w:r>
        <w:t xml:space="preserve">   (7)</w:t>
      </w:r>
    </w:p>
    <w:p>
      <w:pPr>
        <w:spacing w:before="40" w:after="80"/>
        <w:jc w:val="center"/>
      </w:pPr>
      <m:oMath>
        <m:r>
          <m:t>u = 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t> − </m:t>
        </m:r>
        <m:sSub>
          <m:e>
            <m:r>
              <m:t>ℓ</m:t>
            </m:r>
          </m:e>
          <m:sub>
            <m:r>
              <m:t>3</m:t>
            </m:r>
          </m:sub>
        </m:sSub>
        <m:r>
          <m:t> cos φ,   v = 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t> − </m:t>
        </m:r>
        <m:sSub>
          <m:e>
            <m:r>
              <m:t>ℓ</m:t>
            </m:r>
          </m:e>
          <m:sub>
            <m:r>
              <m:t>3</m:t>
            </m:r>
          </m:sub>
        </m:sSub>
        <m:r>
          <m:t> sin φ</m:t>
        </m:r>
      </m:oMath>
    </w:p>
    <w:p>
      <w:pPr>
        <w:spacing w:before="40" w:after="80"/>
        <w:jc w:val="center"/>
      </w:pP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 = </m:t>
        </m:r>
        <m:f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t> + </m:t>
            </m:r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  <m:r>
              <m:t> − </m:t>
            </m:r>
            <m:sSup>
              <m:e>
                <m:sSub>
                  <m:e>
                    <m:r>
                      <m:t>ℓ</m:t>
                    </m:r>
                  </m:e>
                  <m:sub>
                    <m:r>
                      <m:t>1</m:t>
                    </m:r>
                  </m:sub>
                </m:sSub>
              </m:e>
              <m:sup>
                <m:r>
                  <m:t>2</m:t>
                </m:r>
              </m:sup>
            </m:sSup>
            <m:r>
              <m:t> − </m:t>
            </m:r>
            <m:sSup>
              <m:e>
                <m:sSub>
                  <m:e>
                    <m:r>
                      <m:t>ℓ</m:t>
                    </m:r>
                  </m:e>
                  <m:sub>
                    <m:r>
                      <m:t>2</m:t>
                    </m:r>
                  </m:sub>
                </m:sSub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b>
              <m:e>
                <m:r>
                  <m:t>ℓ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ℓ</m:t>
                </m:r>
              </m:e>
              <m:sub>
                <m:r>
                  <m:t>2</m:t>
                </m:r>
              </m:sub>
            </m:sSub>
          </m:den>
        </m:f>
        <m:r>
          <m:t>,   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t> = ±acos(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)</m:t>
        </m:r>
      </m:oMath>
      <w:r>
        <w:t xml:space="preserve">   (8)</w:t>
      </w:r>
    </w:p>
    <w:p>
      <w:pPr>
        <w:spacing w:before="40" w:after="80"/>
        <w:jc w:val="center"/>
      </w:pPr>
      <m:oMath>
        <m:sSub>
          <m:e>
            <m:r>
              <m:t>q</m:t>
            </m:r>
          </m:e>
          <m:sub>
            <m:r>
              <m:t>1</m:t>
            </m:r>
          </m:sub>
        </m:sSub>
        <m:r>
          <m:t> = atan2(v,u) − atan2(</m:t>
        </m:r>
        <m:sSub>
          <m:e>
            <m:r>
              <m:t>ℓ</m:t>
            </m:r>
          </m:e>
          <m:sub>
            <m:r>
              <m:t>2</m:t>
            </m:r>
          </m:sub>
        </m:sSub>
        <m:r>
          <m:t> sin 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t>, </m:t>
        </m:r>
        <m:sSub>
          <m:e>
            <m:r>
              <m:t>ℓ</m:t>
            </m:r>
          </m:e>
          <m:sub>
            <m:r>
              <m:t>1</m:t>
            </m:r>
          </m:sub>
        </m:sSub>
        <m:r>
          <m:t> + </m:t>
        </m:r>
        <m:sSub>
          <m:e>
            <m:r>
              <m:t>ℓ</m:t>
            </m:r>
          </m:e>
          <m:sub>
            <m:r>
              <m:t>2</m:t>
            </m:r>
          </m:sub>
        </m:sSub>
        <m:r>
          <m:t> cos 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t>)</m:t>
        </m:r>
      </m:oMath>
      <w:r>
        <w:t xml:space="preserve">   (9)</w:t>
      </w:r>
    </w:p>
    <w:p>
      <w:pPr>
        <w:spacing w:before="40" w:after="80"/>
        <w:jc w:val="center"/>
      </w:pPr>
      <m:oMath>
        <m:sSub>
          <m:e>
            <m:r>
              <m:t>q</m:t>
            </m:r>
          </m:e>
          <m:sub>
            <m:r>
              <m:t>3</m:t>
            </m:r>
          </m:sub>
        </m:sSub>
        <m:r>
          <m:t> = φ − 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t> − </m:t>
        </m:r>
        <m:sSub>
          <m:e>
            <m:r>
              <m:t>q</m:t>
            </m:r>
          </m:e>
          <m:sub>
            <m:r>
              <m:t>2</m:t>
            </m:r>
          </m:sub>
        </m:sSub>
      </m:oMath>
    </w:p>
    <w:p>
      <w:pPr>
        <w:spacing w:after="100" w:line="269" w:lineRule="auto"/>
      </w:pPr>
      <w:r>
        <w:t>PCS 对局部边寻找两端共有的分划及非奇异 IK 分支，再在该分划内递归连接。树上不同边可以采用不同分划；只有按真实父子关系或最终路径顺序变化，才记为相应切换。主规划用 p0 与 p16；S3 暴露 17 个连续正长 3R 分划，使用前缀 m=1/2/3/7/16。末端零长度法兰使这些图册不能直接冒充原文 m=20。</w:t>
      </w:r>
    </w:p>
    <w:p>
      <w:pPr>
        <w:spacing w:after="100" w:line="269" w:lineRule="auto"/>
      </w:pPr>
      <w:r>
        <w:t>原文在独立、等测度等假设下讨论多被动链可见域的上界。下式是带假设的理论表达，不是本次有限样本成功率的拟合或下界；障碍、限位、图册依赖与 APC 不可达性必须另行考虑。</w:t>
      </w:r>
    </w:p>
    <w:p>
      <w:pPr>
        <w:spacing w:before="40" w:after="80"/>
        <w:jc w:val="center"/>
      </w:pPr>
      <m:oMath>
        <m:sSub>
          <m:e>
            <m:r>
              <m:t>P</m:t>
            </m:r>
          </m:e>
          <m:sub>
            <m:r>
              <m:t>v</m:t>
            </m:r>
          </m:sub>
        </m:sSub>
        <m:r>
          <m:t> = 1 − </m:t>
        </m:r>
        <m:nary>
          <m:naryPr>
            <m:chr m:val="∏"/>
            <m:limLoc m:val="subSup"/>
          </m:naryPr>
          <m:sub>
            <m:r>
              <m:t>k=1</m:t>
            </m:r>
          </m:sub>
          <m:sup>
            <m:r>
              <m:t>m</m:t>
            </m:r>
          </m:sup>
          <m:e>
            <m:r>
              <m:t>(1 − </m:t>
            </m:r>
            <m:f>
              <m:num>
                <m:r>
                  <m:t>1</m:t>
                </m:r>
              </m:num>
              <m:den>
                <m:sSub>
                  <m:e>
                    <m:r>
                      <m:t>ξ</m:t>
                    </m:r>
                  </m:e>
                  <m:sub>
                    <m:r>
                      <m:t>k</m:t>
                    </m:r>
                  </m:sub>
                </m:sSub>
              </m:den>
            </m:f>
            <m:r>
              <m:t>)</m:t>
            </m:r>
          </m:e>
        </m:nary>
      </m:oMath>
      <w:r>
        <w:t xml:space="preserve">   (10)</w:t>
      </w:r>
    </w:p>
    <w:p>
      <w:pPr>
        <w:spacing w:before="40" w:after="80"/>
        <w:jc w:val="center"/>
      </w:pPr>
      <m:oMath>
        <m:r>
          <m:t>μ(</m:t>
        </m:r>
        <m:sSub>
          <m:e>
            <m:r>
              <m:t>V</m:t>
            </m:r>
          </m:e>
          <m:sub>
            <m:r>
              <m:t>m</m:t>
            </m:r>
          </m:sub>
        </m:sSub>
        <m:r>
          <m:t>(q)) ≤ </m:t>
        </m:r>
        <m:sSub>
          <m:e>
            <m:r>
              <m:t>P</m:t>
            </m:r>
          </m:e>
          <m:sub>
            <m:r>
              <m:t>v</m:t>
            </m:r>
          </m:sub>
        </m:sSub>
        <m:r>
          <m:t> μ(</m:t>
        </m:r>
        <m:sSub>
          <m:e>
            <m:r>
              <m:t>C</m:t>
            </m:r>
          </m:e>
          <m:sub>
            <m:r>
              <m:t>cl</m:t>
            </m:r>
          </m:sub>
        </m:sSub>
        <m:r>
          <m:t>)</m:t>
        </m:r>
      </m:oMath>
    </w:p>
    <w:p>
      <w:pPr>
        <w:pStyle w:val="Heading2"/>
        <w:keepNext/>
      </w:pPr>
      <w:r>
        <w:t>RSS 奇异目标与 RBS 局部连接</w:t>
      </w:r>
    </w:p>
    <w:p>
      <w:pPr>
        <w:spacing w:after="100" w:line="269" w:lineRule="auto"/>
      </w:pPr>
      <w:r>
        <w:t>RSS 用概率 γ=0.2 请求人工奇异目标。平面 3R 被动雅可比的行列式与 ℓ₁ℓ₂ sin q₂ 成比例，肘角为 0 或 π 时两肘支可相接；被动雅可比降秩不等于整个闭链雅可比降秩。随机目标还须闭合、限位合法、无碰撞并可由树到达。历史手工 rank-2 夹具只证明局部机制，不能代替随机全局规划成功。</w:t>
      </w:r>
    </w:p>
    <w:p>
      <w:pPr>
        <w:spacing w:before="40" w:after="80"/>
        <w:jc w:val="center"/>
      </w:pPr>
      <m:oMath>
        <m:r>
          <m:t>rank(</m:t>
        </m:r>
        <m:sSub>
          <m:e>
            <m:r>
              <m:t>J</m:t>
            </m:r>
          </m:e>
          <m:sub>
            <m:r>
              <m:t>p</m:t>
            </m:r>
          </m:sub>
        </m:sSub>
        <m:r>
          <m:t>(</m:t>
        </m:r>
        <m:sSub>
          <m:e>
            <m:r>
              <m:t>q</m:t>
            </m:r>
          </m:e>
          <m:sub>
            <m:r>
              <m:t>sing</m:t>
            </m:r>
          </m:sub>
        </m:sSub>
        <m:r>
          <m:t>)) &lt; 3,   γ = 0.2</m:t>
        </m:r>
      </m:oMath>
      <w:r>
        <w:t xml:space="preserve">   (11)</w:t>
      </w:r>
    </w:p>
    <w:p>
      <w:pPr>
        <w:spacing w:after="100" w:line="269" w:lineRule="auto"/>
      </w:pPr>
      <w:r>
        <w:t>RBS 先验证端点，将关节中点用所选投影器送回流形，对每个新中点检查闭链、限位和碰撞，再递归处理左右两半。PCS 保持所选分划及共同分支，NR 使用全链投影，RSS 使用固定被动链。任何投影或有效性失败都拒绝该试探边。</w:t>
      </w:r>
    </w:p>
    <w:p>
      <w:pPr>
        <w:spacing w:before="40" w:after="80"/>
        <w:jc w:val="center"/>
      </w:pPr>
      <m:oMath>
        <m:sSub>
          <m:e>
            <m:r>
              <m:t>q</m:t>
            </m:r>
          </m:e>
          <m:sub>
            <m:r>
              <m:t>m</m:t>
            </m:r>
          </m:sub>
        </m:sSub>
        <m:r>
          <m:t> = Π(</m:t>
        </m:r>
        <m:f>
          <m:num>
            <m:sSub>
              <m:e>
                <m:r>
                  <m:t>q</m:t>
                </m:r>
              </m:e>
              <m:sub>
                <m:r>
                  <m:t>a</m:t>
                </m:r>
              </m:sub>
            </m:sSub>
            <m:r>
              <m:t> + </m:t>
            </m:r>
            <m:sSub>
              <m:e>
                <m:r>
                  <m:t>q</m:t>
                </m:r>
              </m:e>
              <m:sub>
                <m:r>
                  <m:t>b</m:t>
                </m:r>
              </m:sub>
            </m:sSub>
          </m:num>
          <m:den>
            <m:r>
              <m:t>2</m:t>
            </m:r>
          </m:den>
        </m:f>
        <m:r>
          <m:t>),   </m:t>
        </m:r>
        <m:sSub>
          <m:e>
            <m:r>
              <m:t>q</m:t>
            </m:r>
          </m:e>
          <m:sub>
            <m:r>
              <m:t>m</m:t>
            </m:r>
          </m:sub>
        </m:sSub>
        <m:r>
          <m:t> ∈ </m:t>
        </m:r>
        <m:sSub>
          <m:e>
            <m:r>
              <m:t>C</m:t>
            </m:r>
          </m:e>
          <m:sub>
            <m:r>
              <m:t>o</m:t>
            </m:r>
          </m:sub>
        </m:sSub>
      </m:oMath>
      <w:r>
        <w:t xml:space="preserve">   (12)</w:t>
      </w:r>
    </w:p>
    <w:p>
      <w:pPr>
        <w:spacing w:before="40" w:after="80"/>
        <w:jc w:val="center"/>
      </w:pPr>
      <m:oMath>
        <m:r>
          <m:t>recurse(</m:t>
        </m:r>
        <m:sSub>
          <m:e>
            <m:r>
              <m:t>q</m:t>
            </m:r>
          </m:e>
          <m:sub>
            <m:r>
              <m:t>a</m:t>
            </m:r>
          </m:sub>
        </m:sSub>
        <m:r>
          <m:t>,</m:t>
        </m:r>
        <m:sSub>
          <m:e>
            <m:r>
              <m:t>q</m:t>
            </m:r>
          </m:e>
          <m:sub>
            <m:r>
              <m:t>m</m:t>
            </m:r>
          </m:sub>
        </m:sSub>
        <m:r>
          <m:t>),   recurse(</m:t>
        </m:r>
        <m:sSub>
          <m:e>
            <m:r>
              <m:t>q</m:t>
            </m:r>
          </m:e>
          <m:sub>
            <m:r>
              <m:t>m</m:t>
            </m:r>
          </m:sub>
        </m:sSub>
        <m:r>
          <m:t>,</m:t>
        </m:r>
        <m:sSub>
          <m:e>
            <m:r>
              <m:t>q</m:t>
            </m:r>
          </m:e>
          <m:sub>
            <m:r>
              <m:t>b</m:t>
            </m:r>
          </m:sub>
        </m:sSub>
        <m:r>
          <m:t>)</m:t>
        </m:r>
      </m:oMath>
    </w:p>
    <w:p>
      <w:pPr>
        <w:spacing w:after="100" w:line="269" w:lineRule="auto"/>
      </w:pPr>
      <w:r>
        <w:t>主任务与 S4 在叶距不超过 0.05 rad 时终止，深度上限 12、每连接 256 次投影；S3 按冻结协议使用深度 16 和 512 次共享预算。有限叶距及离散加密均不是连续 CCD 证明。模型和软件身份分为 ORIGINAL 机制、RECONSTRUCTED 模型与 ENGINEERING 资产整理；具体配置和 SHA 见参数表及附录。</w:t>
      </w:r>
    </w:p>
    <w:p>
      <w:pPr>
        <w:pStyle w:val="Heading1"/>
        <w:keepNext/>
      </w:pPr>
      <w:r>
        <w:t>三 D082 主统计与负结果</w:t>
      </w:r>
    </w:p>
    <w:p>
      <w:pPr>
        <w:spacing w:after="100" w:line="269" w:lineRule="auto"/>
      </w:pPr>
      <w:r>
        <w:t>D082 共有 50 次真实规划调用，E0/E1 两类障碍、五个种子和五种方法各按冻结预算运行。记录为 26 条 SUCCESS、24 条 TIME_LIMIT，13 条不同关节路径在两个环境复用。NR 每个环境 5/5 成功，兼容 fixed-0 每个环境 5/5；PCS full 为每环境 3/5，fixed-16 和 RSS 均为 0/5。D082 的全 PCS 最终解分划切换为 0，RSS 的 2304 次奇异构造全部在 IK_UNREACHABLE 阶段拒绝。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417"/>
        <w:gridCol w:w="1417"/>
        <w:gridCol w:w="4139"/>
      </w:tblGrid>
      <w:tr>
        <w:trPr>
          <w:tblHeader/>
          <w:cantSplit/>
        </w:trPr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141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/>
                <w:color w:val="FFFFFF"/>
                <w:sz w:val="18"/>
              </w:rPr>
              <w:t>E0 成功/5</w:t>
            </w:r>
          </w:p>
        </w:tc>
        <w:tc>
          <w:tcPr>
            <w:tcW w:type="dxa" w:w="141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/>
                <w:color w:val="FFFFFF"/>
                <w:sz w:val="18"/>
              </w:rPr>
              <w:t>E1 成功/5</w:t>
            </w:r>
          </w:p>
        </w:tc>
        <w:tc>
          <w:tcPr>
            <w:tcW w:type="dxa" w:w="413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/>
                <w:color w:val="FFFFFF"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RSS</w:t>
            </w:r>
          </w:p>
        </w:tc>
        <w:tc>
          <w:tcPr>
            <w:tcW w:type="dxa" w:w="141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0/5</w:t>
            </w:r>
          </w:p>
        </w:tc>
        <w:tc>
          <w:tcPr>
            <w:tcW w:type="dxa" w:w="141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0/5</w:t>
            </w:r>
          </w:p>
        </w:tc>
        <w:tc>
          <w:tcPr>
            <w:tcW w:type="dxa" w:w="413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72 次奇异请求、2304 次构造均未形成合格随机目标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PCS full</w:t>
            </w:r>
          </w:p>
        </w:tc>
        <w:tc>
          <w:tcPr>
            <w:tcW w:type="dxa" w:w="141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3/5</w:t>
            </w:r>
          </w:p>
        </w:tc>
        <w:tc>
          <w:tcPr>
            <w:tcW w:type="dxa" w:w="141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3/5</w:t>
            </w:r>
          </w:p>
        </w:tc>
        <w:tc>
          <w:tcPr>
            <w:tcW w:type="dxa" w:w="413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有限重建结果，未显示优于兼容固定或 NR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PCS fixed-0</w:t>
            </w:r>
          </w:p>
        </w:tc>
        <w:tc>
          <w:tcPr>
            <w:tcW w:type="dxa" w:w="141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5/5</w:t>
            </w:r>
          </w:p>
        </w:tc>
        <w:tc>
          <w:tcPr>
            <w:tcW w:type="dxa" w:w="141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5/5</w:t>
            </w:r>
          </w:p>
        </w:tc>
        <w:tc>
          <w:tcPr>
            <w:tcW w:type="dxa" w:w="413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端点兼容的固定分划基线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PCS fixed-16</w:t>
            </w:r>
          </w:p>
        </w:tc>
        <w:tc>
          <w:tcPr>
            <w:tcW w:type="dxa" w:w="141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0/5</w:t>
            </w:r>
          </w:p>
        </w:tc>
        <w:tc>
          <w:tcPr>
            <w:tcW w:type="dxa" w:w="141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0/5</w:t>
            </w:r>
          </w:p>
        </w:tc>
        <w:tc>
          <w:tcPr>
            <w:tcW w:type="dxa" w:w="413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结构负对照，端点分支不兼容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NR</w:t>
            </w:r>
          </w:p>
        </w:tc>
        <w:tc>
          <w:tcPr>
            <w:tcW w:type="dxa" w:w="141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5/5</w:t>
            </w:r>
          </w:p>
        </w:tc>
        <w:tc>
          <w:tcPr>
            <w:tcW w:type="dxa" w:w="141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5/5</w:t>
            </w:r>
          </w:p>
        </w:tc>
        <w:tc>
          <w:tcPr>
            <w:tcW w:type="dxa" w:w="413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重建平面条件下成功率更高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t>这些计数不是原论文 22500 次正式调用，也不是原文六环境结论。D080 取消的 18000 次计划不重新解释为已完成样本。</w:t>
      </w:r>
    </w:p>
    <w:p>
      <w:pPr>
        <w:pStyle w:val="Heading1"/>
        <w:keepNext/>
        <w:pageBreakBefore/>
      </w:pPr>
      <w:r>
        <w:t>四 D084 S3 受控 Fig3 实验</w:t>
      </w:r>
    </w:p>
    <w:p>
      <w:pPr>
        <w:spacing w:after="100" w:line="269" w:lineRule="auto"/>
      </w:pPr>
      <w:r>
        <w:t>S3 从 13 条既有成功轨迹得到 96 个经独立检查合格的保存端点，再固定抽取 180 个无序非自对。端点来自相关轨迹，不能解释为可行流形上的独立同分布样本。所有 m 共享同一端点、配对、方向和距离分箱，避免把不同 m 的构型总体差异误写成因果效果。候选并集是冻结有限 RBS 规则下的存在性估计；有限策略使用全新共享预算，两者严格分开。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1814"/>
        <w:gridCol w:w="1814"/>
        <w:gridCol w:w="1701"/>
        <w:gridCol w:w="1701"/>
      </w:tblGrid>
      <w:tr>
        <w:trPr>
          <w:tblHeader/>
          <w:cantSplit/>
        </w:trPr>
        <w:tc>
          <w:tcPr>
            <w:tcW w:type="dxa" w:w="8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/>
                <w:color w:val="FFFFFF"/>
                <w:sz w:val="18"/>
              </w:rPr>
              <w:t>m</w:t>
            </w:r>
          </w:p>
        </w:tc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/>
                <w:color w:val="FFFFFF"/>
                <w:sz w:val="18"/>
              </w:rPr>
              <w:t>候选并集成功/180</w:t>
            </w:r>
          </w:p>
        </w:tc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/>
                <w:color w:val="FFFFFF"/>
                <w:sz w:val="18"/>
              </w:rPr>
              <w:t>有限策略成功/180</w:t>
            </w:r>
          </w:p>
        </w:tc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/>
                <w:color w:val="FFFFFF"/>
                <w:sz w:val="18"/>
              </w:rPr>
              <w:t>候选均值/ms</w:t>
            </w:r>
          </w:p>
        </w:tc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/>
                <w:color w:val="FFFFFF"/>
                <w:sz w:val="18"/>
              </w:rPr>
              <w:t>策略均值/ms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176</w:t>
            </w:r>
          </w:p>
        </w:tc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176</w:t>
            </w:r>
          </w:p>
        </w:tc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14.966</w:t>
            </w:r>
          </w:p>
        </w:tc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14.977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180</w:t>
            </w:r>
          </w:p>
        </w:tc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180</w:t>
            </w:r>
          </w:p>
        </w:tc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20.793</w:t>
            </w:r>
          </w:p>
        </w:tc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15.255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180</w:t>
            </w:r>
          </w:p>
        </w:tc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180</w:t>
            </w:r>
          </w:p>
        </w:tc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37.002</w:t>
            </w:r>
          </w:p>
        </w:tc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15.255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180</w:t>
            </w:r>
          </w:p>
        </w:tc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180</w:t>
            </w:r>
          </w:p>
        </w:tc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108.912</w:t>
            </w:r>
          </w:p>
        </w:tc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15.355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180</w:t>
            </w:r>
          </w:p>
        </w:tc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180</w:t>
            </w:r>
          </w:p>
        </w:tc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209.505</w:t>
            </w:r>
          </w:p>
        </w:tc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15.402</w:t>
            </w:r>
          </w:p>
        </w:tc>
      </w:tr>
    </w:tbl>
    <w:p>
      <w:pPr>
        <w:spacing w:after="40"/>
      </w:pP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6720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ontrolled_visibility_and_local_cost_by_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72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05050"/>
          <w:sz w:val="17"/>
        </w:rPr>
        <w:t>图 1 受控共享总体的可见率与局部检查成本；成本不是原文 Bi-RRT 规划时间。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46817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ontrolled_visibility_by_dis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68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05050"/>
          <w:sz w:val="17"/>
        </w:rPr>
        <w:t>图 2 按冻结距离分箱的描述性结果；分母由同一 180 对决定。</w:t>
      </w:r>
    </w:p>
    <w:p>
      <w:pPr>
        <w:spacing w:after="100" w:line="269" w:lineRule="auto"/>
      </w:pPr>
      <w:r>
        <w:t>实验外层保守成本为 86.29 秒 wall / 90.71 秒进程 CPU，低于 300/300 秒 Stage B 帽。S3 的精确描述率不附总体置信区间，也不能外推原论文均匀可行流形、m=20 或复杂障碍性能。</w:t>
      </w:r>
    </w:p>
    <w:p>
      <w:pPr>
        <w:spacing w:after="100" w:line="269" w:lineRule="auto"/>
      </w:pPr>
      <w:r>
        <w:t>原始记录共 2880 次候选和 900 次有限策略评估，分别有 2358 和 896 条成功调用。候选并集按 m 汇总为 176/180、180/180、180/180、180/180、180/180；有限策略的四条失败均为 m=1。3254 条接受局部调用记录具有保存的独立资格，涉及 97577 个点引用。失败的首次 prepare 与成功输出均保留；D084 S3 只打包已有结果，没有重跑科学调用。</w:t>
      </w:r>
    </w:p>
    <w:p>
      <w:pPr>
        <w:pStyle w:val="Heading1"/>
        <w:keepNext/>
      </w:pPr>
      <w:r>
        <w:t>五 ABB II 空间保存路径</w:t>
      </w:r>
    </w:p>
    <w:p>
      <w:pPr>
        <w:spacing w:after="100" w:line="269" w:lineRule="auto"/>
      </w:pPr>
      <w:r>
        <w:t>S1 只读取已经合格的保存节点，打包 RRT/PCS 177、CBiRRT/PCS 413、RRT/NR 393、CBiRRT/NR 689 四条 Environment II 路径。图中完整 TCP 轨迹和起点、中点、终点构型来自保存记录；几何表面沿用 aligned CAD-frame 约定。证书中的闭链、限位和离散碰撞结果未被重新升级。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5320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1_abb_ii_four_saved_path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320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05050"/>
          <w:sz w:val="17"/>
        </w:rPr>
        <w:t>图 3 Environment II 四条保存离散路径的起点、中点和终点。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134"/>
        <w:gridCol w:w="1701"/>
        <w:gridCol w:w="1814"/>
        <w:gridCol w:w="1701"/>
      </w:tblGrid>
      <w:tr>
        <w:trPr>
          <w:tblHeader/>
          <w:cantSplit/>
        </w:trPr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113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/>
                <w:color w:val="FFFFFF"/>
                <w:sz w:val="18"/>
              </w:rPr>
              <w:t>节点/叶</w:t>
            </w:r>
          </w:p>
        </w:tc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/>
                <w:color w:val="FFFFFF"/>
                <w:sz w:val="18"/>
              </w:rPr>
              <w:t>最大叶距/rad</w:t>
            </w:r>
          </w:p>
        </w:tc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/>
                <w:color w:val="FFFFFF"/>
                <w:sz w:val="18"/>
              </w:rPr>
              <w:t>最大位置闭链/mm</w:t>
            </w:r>
          </w:p>
        </w:tc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/>
                <w:color w:val="FFFFFF"/>
                <w:sz w:val="18"/>
              </w:rPr>
              <w:t>连续 CCD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RRT/PCS</w:t>
            </w:r>
          </w:p>
        </w:tc>
        <w:tc>
          <w:tcPr>
            <w:tcW w:type="dxa" w:w="113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177/176</w:t>
            </w:r>
          </w:p>
        </w:tc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0.0494905</w:t>
            </w:r>
          </w:p>
        </w:tc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3.41e−13</w:t>
            </w:r>
          </w:p>
        </w:tc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未证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CBiRRT/PCS</w:t>
            </w:r>
          </w:p>
        </w:tc>
        <w:tc>
          <w:tcPr>
            <w:tcW w:type="dxa" w:w="113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413/412</w:t>
            </w:r>
          </w:p>
        </w:tc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0.0498729</w:t>
            </w:r>
          </w:p>
        </w:tc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4.55e−13</w:t>
            </w:r>
          </w:p>
        </w:tc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未证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RRT/NR</w:t>
            </w:r>
          </w:p>
        </w:tc>
        <w:tc>
          <w:tcPr>
            <w:tcW w:type="dxa" w:w="113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393/392</w:t>
            </w:r>
          </w:p>
        </w:tc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0.0478001</w:t>
            </w:r>
          </w:p>
        </w:tc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9.79e−06</w:t>
            </w:r>
          </w:p>
        </w:tc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未证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CBiRRT/NR</w:t>
            </w:r>
          </w:p>
        </w:tc>
        <w:tc>
          <w:tcPr>
            <w:tcW w:type="dxa" w:w="113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689/688</w:t>
            </w:r>
          </w:p>
        </w:tc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0.0495190</w:t>
            </w:r>
          </w:p>
        </w:tc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9.80e−06</w:t>
            </w:r>
          </w:p>
        </w:tc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未证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t>S1 不把保存路径图示写成 PCS 优势、native TCP 等价、实体杆连续安全或动态可执行性证书。每条路径的 certificate SHA、execution SHA 和输入样本 SHA 位于 `reports/p4_d084_abb_ii/manifest.json`。</w:t>
      </w:r>
    </w:p>
    <w:p>
      <w:pPr>
        <w:pStyle w:val="Heading1"/>
        <w:keepNext/>
      </w:pPr>
      <w:r>
        <w:t>六 ABB III 角色切换</w:t>
      </w:r>
    </w:p>
    <w:p>
      <w:pPr>
        <w:spacing w:after="100" w:line="269" w:lineRule="auto"/>
      </w:pPr>
      <w:r>
        <w:t>S2 绑定 649 个保存 q 状态、15 个里程点和 14 条接受边。主动臂数组为 [0,0,0,1,0,0,0,1,1,0,0,0,0,0]。四次转移发生在 source node 179、248、392、492，分别为 A1→A2、A2→A1、A1→A2、A2→A1。它们描述接受边的主动/被动角色归属，不是连续物理换手。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1835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2_abb_iii_role_tim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83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05050"/>
          <w:sz w:val="17"/>
        </w:rPr>
        <w:t>图 4 ABB III 接受边角色时间线与四个切换节点。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60103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3_environment_III_four_switch_fram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010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05050"/>
          <w:sz w:val="17"/>
        </w:rPr>
        <w:t>图 5 四次切换前后保存构型；仅作离散机制图示。</w:t>
      </w:r>
    </w:p>
    <w:p>
      <w:pPr>
        <w:spacing w:after="100" w:line="269" w:lineRule="auto"/>
      </w:pPr>
      <w:r>
        <w:t>649/649 aligned TCP 通过而 native TCP 0/649；最大 native 平移差 0.003570536971253091 mm，旋转矩阵差 7.347665530579861e−06。source exact 标记不是独立证书；无连续 CCD、最小净距、遗漏碰撞对或硬件安全证明。</w:t>
      </w:r>
    </w:p>
    <w:p>
      <w:r>
        <w:br w:type="page"/>
      </w:r>
    </w:p>
    <w:p>
      <w:pPr>
        <w:pStyle w:val="Heading1"/>
        <w:keepNext/>
      </w:pPr>
      <w:r>
        <w:t>七 S4 有预算界的 PCS 困难诊断</w:t>
      </w:r>
    </w:p>
    <w:p>
      <w:pPr>
        <w:spacing w:after="100" w:line="269" w:lineRule="auto"/>
      </w:pPr>
      <w:r>
        <w:t>S4 使用预注册的 C1–C3 三个确定性端点条件、种子 7/23/41 和 PCS、兼容 fixed、NR、RSS 四种方法。第一条 C1/PCS/seed7 调用实际运行但 JSON 序列化失败，只有 SUCCESS 字面前缀，故保持 UNKNOWN；续跑只执行剩余 35 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247"/>
        <w:gridCol w:w="1531"/>
        <w:gridCol w:w="1417"/>
        <w:gridCol w:w="2268"/>
      </w:tblGrid>
      <w:tr>
        <w:trPr>
          <w:tblHeader/>
          <w:cantSplit/>
        </w:trPr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124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/>
                <w:color w:val="FFFFFF"/>
                <w:sz w:val="18"/>
              </w:rPr>
              <w:t>真实调用</w:t>
            </w:r>
          </w:p>
        </w:tc>
        <w:tc>
          <w:tcPr>
            <w:tcW w:type="dxa" w:w="15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/>
                <w:color w:val="FFFFFF"/>
                <w:sz w:val="18"/>
              </w:rPr>
              <w:t>完整可评价</w:t>
            </w:r>
          </w:p>
        </w:tc>
        <w:tc>
          <w:tcPr>
            <w:tcW w:type="dxa" w:w="141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/>
                <w:color w:val="FFFFFF"/>
                <w:sz w:val="18"/>
              </w:rPr>
              <w:t>独立成功</w:t>
            </w:r>
          </w:p>
        </w:tc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/>
                <w:color w:val="FFFFFF"/>
                <w:sz w:val="18"/>
              </w:rPr>
              <w:t>超时/UNKNOWN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PCS</w:t>
            </w:r>
          </w:p>
        </w:tc>
        <w:tc>
          <w:tcPr>
            <w:tcW w:type="dxa" w:w="124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15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141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1 UNKNOWN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兼容 fixed-0</w:t>
            </w:r>
          </w:p>
        </w:tc>
        <w:tc>
          <w:tcPr>
            <w:tcW w:type="dxa" w:w="124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15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141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NR</w:t>
            </w:r>
          </w:p>
        </w:tc>
        <w:tc>
          <w:tcPr>
            <w:tcW w:type="dxa" w:w="124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15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141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RSS</w:t>
            </w:r>
          </w:p>
        </w:tc>
        <w:tc>
          <w:tcPr>
            <w:tcW w:type="dxa" w:w="124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15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141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6 超时</w:t>
            </w:r>
          </w:p>
        </w:tc>
      </w:tr>
    </w:tbl>
    <w:p>
      <w:pPr>
        <w:spacing w:after="40"/>
      </w:pP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2876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fficult_diagnosti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87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05050"/>
          <w:sz w:val="17"/>
        </w:rPr>
        <w:t>图 6 三条件有限诊断的成功分母与候选 clearance；不是无偏困难基准。</w:t>
      </w:r>
    </w:p>
    <w:p>
      <w:pPr>
        <w:spacing w:after="100" w:line="269" w:lineRule="auto"/>
      </w:pPr>
      <w:r>
        <w:t>合计外部成本为 17.00 秒 wall / 19.84 秒进程 CPU，低于 180/240 秒 Stage C 帽。29 个完整成功解通过独立保存路径审查，树和最终解相邻边分划切换均为 0。RSS 的 1696 个奇异构造全部 IK_UNREACHABLE，三个 RSS 成功均为普通同分支 p16 边，不能当作奇异桥成功。</w:t>
      </w:r>
    </w:p>
    <w:p>
      <w:pPr>
        <w:pStyle w:val="Heading1"/>
        <w:keepNext/>
      </w:pPr>
      <w:r>
        <w:t>八 参数与未覆盖范围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061"/>
        <w:gridCol w:w="3969"/>
      </w:tblGrid>
      <w:tr>
        <w:trPr>
          <w:tblHeader/>
          <w:cantSplit/>
        </w:trPr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06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/>
                <w:color w:val="FFFFFF"/>
                <w:sz w:val="18"/>
              </w:rPr>
              <w:t>原论文或待核范围</w:t>
            </w:r>
          </w:p>
        </w:tc>
        <w:tc>
          <w:tcPr>
            <w:tcW w:type="dxa" w:w="396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/>
                <w:color w:val="FFFFFF"/>
                <w:sz w:val="18"/>
              </w:rPr>
              <w:t>本项目实际证据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统计规模</w:t>
            </w:r>
          </w:p>
        </w:tc>
        <w:tc>
          <w:tcPr>
            <w:tcW w:type="dxa" w:w="306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论文含六环境；Table I 为 II–VI 五空间环境×3规划器×3方法×500=22500</w:t>
            </w:r>
          </w:p>
        </w:tc>
        <w:tc>
          <w:tcPr>
            <w:tcW w:type="dxa" w:w="396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D082 50 次 pilot；D084 S3/S4 为冻结小样本诊断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Fig.3</w:t>
            </w:r>
          </w:p>
        </w:tc>
        <w:tc>
          <w:tcPr>
            <w:tcW w:type="dxa" w:w="306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平面 20R、m=1/2/3/7/20、原文总体</w:t>
            </w:r>
          </w:p>
        </w:tc>
        <w:tc>
          <w:tcPr>
            <w:tcW w:type="dxa" w:w="396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重建 20R proxy，m 最大 16，96 端点/180 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碰撞与几何</w:t>
            </w:r>
          </w:p>
        </w:tc>
        <w:tc>
          <w:tcPr>
            <w:tcW w:type="dxa" w:w="306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原作者模型同一性待核；连续安全属于本项目尚未认证范围</w:t>
            </w:r>
          </w:p>
        </w:tc>
        <w:tc>
          <w:tcPr>
            <w:tcW w:type="dxa" w:w="396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离散 source-policy / aligned 证据；无 CCD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RSS</w:t>
            </w:r>
          </w:p>
        </w:tc>
        <w:tc>
          <w:tcPr>
            <w:tcW w:type="dxa" w:w="306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原文随机奇异采样统计</w:t>
            </w:r>
          </w:p>
        </w:tc>
        <w:tc>
          <w:tcPr>
            <w:tcW w:type="dxa" w:w="396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历史 0/10 和 2304 IK_UNREACHABLE 保留；新 S4 仅 3/9 普通同分支成功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空间 ABB</w:t>
            </w:r>
          </w:p>
        </w:tc>
        <w:tc>
          <w:tcPr>
            <w:tcW w:type="dxa" w:w="306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原生 TCP 与空间统计</w:t>
            </w:r>
          </w:p>
        </w:tc>
        <w:tc>
          <w:tcPr>
            <w:tcW w:type="dxa" w:w="396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保存路径图示；III native mismatch 649/649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硬件/动力学</w:t>
            </w:r>
          </w:p>
        </w:tc>
        <w:tc>
          <w:tcPr>
            <w:tcW w:type="dxa" w:w="306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后续应用需要的执行与动态安全；不冒称原论文已验证这些条件</w:t>
            </w:r>
          </w:p>
        </w:tc>
        <w:tc>
          <w:tcPr>
            <w:tcW w:type="dxa" w:w="396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本项目未执行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t>因此，本报告支持“有限重建端到端虚拟任务与离散证据已交付”，不支持“原论文全文已复现”“PCS 在复杂环境普遍优越”或“路径可直接用于真实机器人执行”。</w:t>
      </w:r>
    </w:p>
    <w:p>
      <w:pPr>
        <w:pStyle w:val="Heading2"/>
        <w:keepNext/>
      </w:pPr>
      <w:r>
        <w:t>冻结的重建数值参数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757"/>
        <w:gridCol w:w="5726"/>
      </w:tblGrid>
      <w:tr>
        <w:trPr>
          <w:tblHeader/>
          <w:cantSplit/>
        </w:trPr>
        <w:tc>
          <w:tcPr>
            <w:tcW w:type="dxa" w:w="124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175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572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/>
                <w:color w:val="FFFFFF"/>
                <w:sz w:val="18"/>
              </w:rPr>
              <w:t>值及来源约束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D082 与 S4</w:t>
            </w:r>
          </w:p>
        </w:tc>
        <w:tc>
          <w:tcPr>
            <w:tcW w:type="dxa" w:w="175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机构与碰撞</w:t>
            </w:r>
          </w:p>
        </w:tc>
        <w:tc>
          <w:tcPr>
            <w:tcW w:type="dxa" w:w="572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19 杆长 sin(π/38) m；地杆 1 m；20R 含零长法兰；关节界 [−π,π]；胶囊半径 0.002 m，仅排除真实相邻杆对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D082</w:t>
            </w:r>
          </w:p>
        </w:tc>
        <w:tc>
          <w:tcPr>
            <w:tcW w:type="dxa" w:w="175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端点与障碍</w:t>
            </w:r>
          </w:p>
        </w:tc>
        <w:tc>
          <w:tcPr>
            <w:tcW w:type="dxa" w:w="572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a=π/19；起点 q0=q19=π/2−a/2，其余 −a；目标仅 q16..18=(−2a,a,−2a)。E0 圆 (0.45,0.72),r=.045 m；E1 增加 (.50,.18),r=.065 与 (.72,.60),r=.050 m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D082 与 S4</w:t>
            </w:r>
          </w:p>
        </w:tc>
        <w:tc>
          <w:tcPr>
            <w:tcW w:type="dxa" w:w="175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投影与 RBS</w:t>
            </w:r>
          </w:p>
        </w:tc>
        <w:tc>
          <w:tcPr>
            <w:tcW w:type="dxa" w:w="572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闭链位置/角度 10⁻⁸ m/rad；NR 100 更新；SVD max(10⁻¹²,10⁻¹⁰σmax)；RBS 0.05 rad/深度12/256投影；扩展 0.6 rad；RSS γ=.2/最多32次构造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S3</w:t>
            </w:r>
          </w:p>
        </w:tc>
        <w:tc>
          <w:tcPr>
            <w:tcW w:type="dxa" w:w="175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冻结抽样</w:t>
            </w:r>
          </w:p>
        </w:tc>
        <w:tc>
          <w:tcPr>
            <w:tcW w:type="dxa" w:w="572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E0_sparse；96 端点 seed2026102201；180 无序非自对 seed2026102202；方向按索引递增；m 前缀 0..15，全部可用分划0..16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S3</w:t>
            </w:r>
          </w:p>
        </w:tc>
        <w:tc>
          <w:tcPr>
            <w:tcW w:type="dxa" w:w="175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有限局部预算</w:t>
            </w:r>
          </w:p>
        </w:tc>
        <w:tc>
          <w:tcPr>
            <w:tcW w:type="dxa" w:w="572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每候选独立512中点投影；实际策略全部升序图册共享512投影，首成功停止；每连接2.0 s；深度16；叶距.05 rad；分支 ε=10⁻¹⁰，余弦边界舍入10⁻¹²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S4</w:t>
            </w:r>
          </w:p>
        </w:tc>
        <w:tc>
          <w:tcPr>
            <w:tcW w:type="dxa" w:w="175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诊断调度</w:t>
            </w:r>
          </w:p>
        </w:tc>
        <w:tc>
          <w:tcPr>
            <w:tcW w:type="dxa" w:w="572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E1_clutter；三个保存中点条件，种子7/23/41；36调用上限，1 s/调用；300树节点、8次connect；兼容fixed从[0,16]首个可用选取，实际均0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D082 与 S4</w:t>
            </w:r>
          </w:p>
        </w:tc>
        <w:tc>
          <w:tcPr>
            <w:tcW w:type="dxa" w:w="175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随机与统计</w:t>
            </w:r>
          </w:p>
        </w:tc>
        <w:tc>
          <w:tcPr>
            <w:tcW w:type="dxa" w:w="572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D082 五种子7/23/41/59/73；S4仅7/23/41；同种子不保证算法消耗同一采样向量；没有每方法最优参数调优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t>上述几何、端点和阈值属于已冻结重建实验，未声明等同原作者输入。D082 每组 n=5，成功 5/5 的 95% Wilson 区间约 [0.566,1]，0/5 仍约 [0,0.434]。S3 为冻结有限总体的描述性结果，S4 只有三个相关条件和三个种子，PCS 还存在一条 UNKNOWN；均不宜形成总体方法排序或显著性结论。超时不等于无解。</w:t>
      </w:r>
    </w:p>
    <w:p>
      <w:pPr>
        <w:pStyle w:val="Heading1"/>
        <w:keepNext/>
      </w:pPr>
      <w:r>
        <w:t>九 可复现入口与 Git 证据</w:t>
      </w:r>
    </w:p>
    <w:p>
      <w:pPr>
        <w:pStyle w:val="ListBullet"/>
        <w:spacing w:after="40" w:line="259" w:lineRule="auto"/>
      </w:pPr>
      <w:r>
        <w:t>S0 恢复提交：a660e14189ded7878685d9388c6241b65166ffc7；报告修订：4b86552829177799f8bc22ca6a6cf113fe8943b0。</w:t>
      </w:r>
    </w:p>
    <w:p>
      <w:pPr>
        <w:pStyle w:val="ListBullet"/>
        <w:spacing w:after="40" w:line="259" w:lineRule="auto"/>
      </w:pPr>
      <w:r>
        <w:t>S1：613611d89cbc1e39e4ffbb9bd1e73f40c45285ff；S2：882ff171f819d9dd2735edf04ac8f783289f3f7f；S3：0ed66ec30d22a85f6a03088b3bfbfd4b21a50291；S4：bec0f9450a78a115c439368f0ca5ecfdb09b0cfb。</w:t>
      </w:r>
    </w:p>
    <w:p>
      <w:pPr>
        <w:pStyle w:val="ListBullet"/>
        <w:spacing w:after="40" w:line="259" w:lineRule="auto"/>
      </w:pPr>
      <w:r>
        <w:t>阶段说明与哈希位于 reports/p4_d084_abb_ii、reports/p4_d084_abb_iii、reports/p4_d084_fig3_controlled 和 reports/p4_d084_pcs_difficulty 的 README.md / manifest.json。短交接分别为 reports/P4_D084_S1_POST.md 至 P4_D084_S4_POST.md。</w:t>
      </w:r>
    </w:p>
    <w:p>
      <w:pPr>
        <w:pStyle w:val="ListBullet"/>
        <w:spacing w:after="40" w:line="259" w:lineRule="auto"/>
      </w:pPr>
      <w:r>
        <w:t>D082 原始 211×257 coverage CSV 未被改写；D082 原 Word/PDF、D083 草稿和未提交 raw archives 均保留原位置。</w:t>
      </w:r>
    </w:p>
    <w:p>
      <w:pPr>
        <w:spacing w:after="100" w:line="269" w:lineRule="auto"/>
      </w:pPr>
      <w:r>
        <w:t>本报告构建脚本 scripts/p4_d084/build_final_report.py 只读取冻结文件和 D082 原生 Word 公式。可用 Codex 内置 Python 指定全新 --output 路径重新排版；PDF 由已有隔离 LibreOffice 渲染器导出。具体环境、校验命令和最终文件 SHA 见 reports/P4_D084_S5_FINAL_HANDOFF.md。该复现入口不重新执行任何规划、IK、RBS、碰撞或资格实验。</w:t>
      </w:r>
    </w:p>
    <w:p>
      <w:pPr>
        <w:pStyle w:val="Heading1"/>
        <w:keepNext/>
      </w:pPr>
      <w:r>
        <w:t>十 面向双机械臂课题的适用性差距与待研究问题</w:t>
      </w:r>
    </w:p>
    <w:p>
      <w:pPr>
        <w:spacing w:after="100" w:line="269" w:lineRule="auto"/>
      </w:pPr>
      <w:r>
        <w:t>刚性共同抓持时，可以用两侧运动学推算的物体位姿相等定义闭链约束，再由投影和局部连接检查几何可行性。这只是 D082 已讨论的概念接口；当前没有 FR3 运动学、抓持标定或实际碰撞体的独立资格。NR 不要求闭式 IK，概念上较易迁移，但收敛、关节限位和奇异邻域仍需单独验证。</w:t>
      </w:r>
    </w:p>
    <w:p>
      <w:pPr>
        <w:spacing w:after="100" w:line="269" w:lineRule="auto"/>
      </w:pPr>
      <w:r>
        <w:t>冗余 7R 机械臂不能直接套用原文非冗余 6R 被动臂的有限解析分支。PCS 需要可证明的解析子问题与连续分支覆盖；RSS 需要真实降秩集合及可闭合、合法、无碰撞的随机目标。吸盘柔性、滑移、内力、动力学、时间参数化和执行误差超出本轮几何证据。不能通过扩大闭链容差或使用真值绕过这些差距。当前不实现 FR3、Isaac 或硬件迁移，也不据此推出应用收益。</w:t>
      </w:r>
    </w:p>
    <w:p>
      <w:pPr>
        <w:pStyle w:val="Heading1"/>
        <w:keepNext/>
        <w:pageBreakBefore/>
      </w:pPr>
      <w:r>
        <w:t>附录 A D084 有限覆盖增量</w:t>
      </w:r>
    </w:p>
    <w:p>
      <w:pPr>
        <w:spacing w:after="100" w:line="269" w:lineRule="auto"/>
      </w:pPr>
      <w:r>
        <w:t>下表只说明本轮证据与原主义务的关联，不修改 D082 的 211 行历史映射或状态单元格。完整历史文件为 reports/P4_D082_ORIGINAL_VS_APPROVED_VS_ACTUAL.csv（211×257），SHA256 e51494c1e37913b40a354ad5160f57a123e2f8a54740bbad72f1623117615d71。其 .md 是 30 条主义务摘要；D084 不把任何增量换算为原论文 FULL。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381"/>
        <w:gridCol w:w="5443"/>
      </w:tblGrid>
      <w:tr>
        <w:trPr>
          <w:tblHeader/>
          <w:cantSplit/>
        </w:trPr>
        <w:tc>
          <w:tcPr>
            <w:tcW w:type="dxa" w:w="90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/>
                <w:color w:val="FFFFFF"/>
                <w:sz w:val="18"/>
              </w:rPr>
              <w:t>本轮</w:t>
            </w:r>
          </w:p>
        </w:tc>
        <w:tc>
          <w:tcPr>
            <w:tcW w:type="dxa" w:w="23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/>
                <w:color w:val="FFFFFF"/>
                <w:sz w:val="18"/>
              </w:rPr>
              <w:t>对应原主义务</w:t>
            </w:r>
          </w:p>
        </w:tc>
        <w:tc>
          <w:tcPr>
            <w:tcW w:type="dxa" w:w="5443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/>
                <w:color w:val="FFFFFF"/>
                <w:sz w:val="18"/>
              </w:rPr>
              <w:t>新增证据与仍未覆盖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S1</w:t>
            </w:r>
          </w:p>
        </w:tc>
        <w:tc>
          <w:tcPr>
            <w:tcW w:type="dxa" w:w="23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P4-T11 T16 T17 T26</w:t>
            </w:r>
          </w:p>
        </w:tc>
        <w:tc>
          <w:tcPr>
            <w:tcW w:type="dxa" w:w="5443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II 四条保存路径的真实图示和来源绑定；没有新规划、完整方法矩阵或连续安全结论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S2</w:t>
            </w:r>
          </w:p>
        </w:tc>
        <w:tc>
          <w:tcPr>
            <w:tcW w:type="dxa" w:w="23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P4-T12 T08 T16 T27</w:t>
            </w:r>
          </w:p>
        </w:tc>
        <w:tc>
          <w:tcPr>
            <w:tcW w:type="dxa" w:w="5443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III 649 状态、14边、4次角色切换；native mismatch 649/649 保留，角色切换不等于平面分划统计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S3</w:t>
            </w:r>
          </w:p>
        </w:tc>
        <w:tc>
          <w:tcPr>
            <w:tcW w:type="dxa" w:w="23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P4-T19 T06 T21 T05 T26</w:t>
            </w:r>
          </w:p>
        </w:tc>
        <w:tc>
          <w:tcPr>
            <w:tcW w:type="dxa" w:w="5443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修正共享总体混淆的有限代理实验；m20、匹配 NR、原总体、原 Bi-RRT 成本和约5万点对仍缺失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S4</w:t>
            </w:r>
          </w:p>
        </w:tc>
        <w:tc>
          <w:tcPr>
            <w:tcW w:type="dxa" w:w="23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P4-T28 T23 T08 T07 T09 T24</w:t>
            </w:r>
          </w:p>
        </w:tc>
        <w:tc>
          <w:tcPr>
            <w:tcW w:type="dxa" w:w="5443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36注册/35完整/1UNKNOWN；没有建立真正困难条件、最终解切换、有效奇异桥或 PCS 优势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范围保留</w:t>
            </w:r>
          </w:p>
        </w:tc>
        <w:tc>
          <w:tcPr>
            <w:tcW w:type="dxa" w:w="23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P4-T18 T13 T14 T15 T30</w:t>
            </w:r>
          </w:p>
        </w:tc>
        <w:tc>
          <w:tcPr>
            <w:tcW w:type="dxa" w:w="5443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Table I 正式调用0/22500，历史18k取消；IV/V未补完整、VI只读，原投影分布主张未验证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S5</w:t>
            </w:r>
          </w:p>
        </w:tc>
        <w:tc>
          <w:tcPr>
            <w:tcW w:type="dxa" w:w="23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P4-T25 T29 及文档交付</w:t>
            </w:r>
          </w:p>
        </w:tc>
        <w:tc>
          <w:tcPr>
            <w:tcW w:type="dxa" w:w="5443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A"/>
          </w:tcPr>
          <w:p>
            <w:pPr>
              <w:spacing w:after="60" w:before="60" w:line="240" w:lineRule="auto"/>
              <w:jc w:val="left"/>
            </w:pPr>
            <w:r/>
            <w:r>
              <w:rPr>
                <w:b w:val="0"/>
                <w:color w:val="000000"/>
                <w:sz w:val="17"/>
              </w:rPr>
              <w:t>整合可追溯报告与概念性应用差距；不新增科学覆盖或工程执行证据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B 图与保存路径来源</w:t>
      </w:r>
    </w:p>
    <w:p>
      <w:pPr>
        <w:spacing w:after="100" w:line="269" w:lineRule="auto"/>
      </w:pPr>
      <w:r>
        <w:rPr>
          <w:sz w:val="18"/>
        </w:rPr>
        <w:t>图 1  reports/p4_d084_fig3_controlled/plots_v2/fig3_controlled_visibility_and_local_cost_by_m.png</w:t>
        <w:br/>
        <w:t>SHA256 468fd8f82481402bc344c8d44a016d47836fa82c631f7e99e464ccf6dd582cb1</w:t>
        <w:br/>
        <w:t>数据来源：S3 summary_by_m.csv 与 pair_by_m_outcomes.csv。</w:t>
      </w:r>
    </w:p>
    <w:p>
      <w:pPr>
        <w:spacing w:after="100" w:line="269" w:lineRule="auto"/>
      </w:pPr>
      <w:r>
        <w:rPr>
          <w:sz w:val="18"/>
        </w:rPr>
        <w:t>图 2  reports/p4_d084_fig3_controlled/plots_v2/fig3_controlled_visibility_by_distance.png</w:t>
        <w:br/>
        <w:t>SHA256 1446a45c3f2fb19c31884996b3e9d1dc395f591af95ff466595baa09ea3adeb9</w:t>
        <w:br/>
        <w:t>数据来源：S3 visibility_by_distance.csv；冻结180对。</w:t>
      </w:r>
    </w:p>
    <w:p>
      <w:pPr>
        <w:spacing w:after="100" w:line="269" w:lineRule="auto"/>
      </w:pPr>
      <w:r>
        <w:rPr>
          <w:sz w:val="18"/>
        </w:rPr>
        <w:t>图 3  reports/p4_d084_abb_ii/fig_S1_abb_ii_four_saved_paths.png</w:t>
        <w:br/>
        <w:t>SHA256 e6a02829b072c7f166fe060849801df3fa7f40fcc99f6fcb0e2916c5cd45cc0e</w:t>
        <w:br/>
        <w:t>数据来源：S1 四条来源证书与保存 node JSON。</w:t>
      </w:r>
    </w:p>
    <w:p>
      <w:pPr>
        <w:spacing w:after="100" w:line="269" w:lineRule="auto"/>
      </w:pPr>
      <w:r>
        <w:rPr>
          <w:sz w:val="18"/>
        </w:rPr>
        <w:t>图 4  reports/p4_d084_abb_iii/fig_S2_abb_iii_role_timeline.png</w:t>
        <w:br/>
        <w:t>SHA256 71f533f263ce0412b43cbb982a7eeef229a5816e672eebb75cdb5130234ef655</w:t>
        <w:br/>
        <w:t>数据来源：S2 role_timeline.csv 和649节点绑定。</w:t>
      </w:r>
    </w:p>
    <w:p>
      <w:pPr>
        <w:spacing w:after="100" w:line="269" w:lineRule="auto"/>
      </w:pPr>
      <w:r>
        <w:rPr>
          <w:sz w:val="18"/>
        </w:rPr>
        <w:t>图 5  reports/p4_d084_abb_iii/fig_A3_environment_III_four_switch_frames.png</w:t>
        <w:br/>
        <w:t>SHA256 149e30a801881f89d12d73eb5536b8d5b25c96c0dc078506f4ef102681d1e778</w:t>
        <w:br/>
        <w:t>数据来源：S2 manifest 的四切换前后保存状态。</w:t>
      </w:r>
    </w:p>
    <w:p>
      <w:pPr>
        <w:spacing w:after="100" w:line="269" w:lineRule="auto"/>
      </w:pPr>
      <w:r>
        <w:rPr>
          <w:sz w:val="18"/>
        </w:rPr>
        <w:t>图 6  reports/p4_d084_pcs_difficulty/difficult_diagnostic.png</w:t>
        <w:br/>
        <w:t>SHA256 9db186ca49f85b253a6c0c560869d77b2bbdfb483815834f76c8c157e6f2b8cb</w:t>
        <w:br/>
        <w:t>数据来源：S4 method_summary.csv 与候选诊断。</w:t>
      </w:r>
    </w:p>
    <w:p>
      <w:pPr>
        <w:spacing w:after="100" w:line="269" w:lineRule="auto"/>
      </w:pPr>
      <w:r>
        <w:t>图 3–5 均来自既有保存状态；本轮没有图像插值、轨迹再求解或碰撞重验。图 1–2 和图 6 沿用已冻结图件，不重新绘制。完整输入、输出和约束语义记录在对应阶段 manifest.json。</w:t>
      </w:r>
    </w:p>
    <w:p>
      <w:pPr>
        <w:spacing w:after="100" w:line="269" w:lineRule="auto"/>
      </w:pPr>
      <w:r>
        <w:rPr>
          <w:sz w:val="18"/>
        </w:rPr>
        <w:t>II RRT / PCS  177 节点</w:t>
        <w:br/>
        <w:t>保存目录：results/p4_full/20261015_R2_ABB_RRT_PATH01</w:t>
        <w:br/>
        <w:t>证书：reports/P4_FULL_R2_ABB_RRT_PATH_INDEPENDENT_SAVED_POST_REVIEW_20261015.json</w:t>
        <w:br/>
        <w:t>SHA256 637d294b65a7baed72e08f326b232e9e7d98b284d81bd6f6790f382941ac2073</w:t>
      </w:r>
    </w:p>
    <w:p>
      <w:pPr>
        <w:spacing w:after="100" w:line="269" w:lineRule="auto"/>
      </w:pPr>
      <w:r>
        <w:rPr>
          <w:sz w:val="18"/>
        </w:rPr>
        <w:t>II CBiRRT / PCS  413 节点</w:t>
        <w:br/>
        <w:t>保存目录：results/p4_full/20261015_R2_ABB_CBIRRT_D_PATH01</w:t>
        <w:br/>
        <w:t>证书：reports/P4_FULL_R2_ABB_CBIRRT_D_PATH01_SAVED_INDEPENDENT_POST_20261016.json</w:t>
        <w:br/>
        <w:t>SHA256 2c548df054867c7d9545fac3726142f3581b3cdfbe54299233a27bb07bace4d0</w:t>
      </w:r>
    </w:p>
    <w:p>
      <w:pPr>
        <w:spacing w:after="100" w:line="269" w:lineRule="auto"/>
      </w:pPr>
      <w:r>
        <w:rPr>
          <w:sz w:val="18"/>
        </w:rPr>
        <w:t>II RRT / NR  393 节点</w:t>
        <w:br/>
        <w:t>保存目录：results/p4_full/20261015_R2_ABB_RRT_NR_PATH01</w:t>
        <w:br/>
        <w:t>证书：reports/P4_FULL_R2_ABB_RRT_NR_PATH_ROOT_INDEPENDENT_POST_20261016.json</w:t>
        <w:br/>
        <w:t>SHA256 0558fb854839edadfead071ba0bcfa0c43ea26079281c59cbcafb036720b21b0</w:t>
      </w:r>
    </w:p>
    <w:p>
      <w:pPr>
        <w:spacing w:after="100" w:line="269" w:lineRule="auto"/>
      </w:pPr>
      <w:r>
        <w:rPr>
          <w:sz w:val="18"/>
        </w:rPr>
        <w:t>II CBiRRT / NR  689 节点</w:t>
        <w:br/>
        <w:t>保存目录：results/p4_full/20261016_R2_ABB_CBIRRT_NR_PATH01</w:t>
        <w:br/>
        <w:t>证书：reports/P4_FULL_R2_ABB_CBIRRT_NR_PATH01_SAVED_INDEPENDENT_POST_20261017.json</w:t>
        <w:br/>
        <w:t>SHA256 b3a2443cb790df547597fe5a72b4eeb78341d2f93a4b4beca8252eba692c40c8</w:t>
      </w:r>
    </w:p>
    <w:p>
      <w:pPr>
        <w:spacing w:after="100" w:line="269" w:lineRule="auto"/>
      </w:pPr>
      <w:r>
        <w:rPr>
          <w:sz w:val="18"/>
        </w:rPr>
        <w:t>III RRT/PCS 649 节点</w:t>
        <w:br/>
        <w:t>证书：reports/P4_D080_ENV_III_RRT_PCS_PHYSICAL01_SAVED_INDEPENDENT_POST_20261018.json</w:t>
        <w:br/>
        <w:t>SHA256 8644c3b37151b009cfc8e60d9679bc8ca82d383e0deb068e3a5ff1df2f98603e</w:t>
        <w:br/>
        <w:t>3253 项保存引用位于该 III 证书的 retained_sha256；原执行与协议 SHA 同在该证书。状态为 PASS_649_DISCRETE_SOURCE_POLICY_PATH，independent_path_qualified=false；source-policy/aligned 离散限制保留。</w:t>
      </w:r>
    </w:p>
    <w:p>
      <w:pPr>
        <w:pStyle w:val="Heading1"/>
        <w:keepNext/>
      </w:pPr>
      <w:r>
        <w:t>附录 C 数值与文献来源</w:t>
      </w:r>
    </w:p>
    <w:p>
      <w:pPr>
        <w:spacing w:after="100" w:line="269" w:lineRule="auto"/>
      </w:pPr>
      <w:r>
        <w:rPr>
          <w:sz w:val="18"/>
        </w:rPr>
        <w:t>reports/P4_D082_DELIVERY_README_20261022.md</w:t>
        <w:br/>
        <w:t>SHA256 fb215c7100fed7e4b5f0538c26ab2a708537092c505931950d2ae074e5435216</w:t>
      </w:r>
    </w:p>
    <w:p>
      <w:pPr>
        <w:spacing w:after="100" w:line="269" w:lineRule="auto"/>
      </w:pPr>
      <w:r>
        <w:rPr>
          <w:sz w:val="18"/>
        </w:rPr>
        <w:t>reports/P4_D082闭链规划算法与完整虚拟仿真研究报告_20261022.docx</w:t>
        <w:br/>
        <w:t>SHA256 6424a9457d1bf3f2201c1a970bd037faed92ee434ba5ae7be1d2c8411b7dc8fc</w:t>
      </w:r>
    </w:p>
    <w:p>
      <w:pPr>
        <w:spacing w:after="100" w:line="269" w:lineRule="auto"/>
      </w:pPr>
      <w:r>
        <w:rPr>
          <w:sz w:val="18"/>
        </w:rPr>
        <w:t>reports/P4_D082闭链规划算法与完整虚拟仿真研究报告_20261022.pdf</w:t>
        <w:br/>
        <w:t>SHA256 dcecdab273f8f950d0c1526c5b00ea59471bd7272d1df719c259c50548013fe6</w:t>
      </w:r>
    </w:p>
    <w:p>
      <w:pPr>
        <w:spacing w:after="100" w:line="269" w:lineRule="auto"/>
      </w:pPr>
      <w:r>
        <w:rPr>
          <w:sz w:val="18"/>
        </w:rPr>
        <w:t>reports/p4_d084_abb_ii/manifest.json</w:t>
        <w:br/>
        <w:t>SHA256 a7a507c1b04732afc162d5c578c6c1af2c29082da1affdee34132884ecd9cdd3</w:t>
      </w:r>
    </w:p>
    <w:p>
      <w:pPr>
        <w:spacing w:after="100" w:line="269" w:lineRule="auto"/>
      </w:pPr>
      <w:r>
        <w:rPr>
          <w:sz w:val="18"/>
        </w:rPr>
        <w:t>reports/p4_d084_abb_iii/manifest.json</w:t>
        <w:br/>
        <w:t>SHA256 84bcfb17754695de04a926c8d87093c538037fa64f986f09914a1689790002a3</w:t>
      </w:r>
    </w:p>
    <w:p>
      <w:pPr>
        <w:spacing w:after="100" w:line="269" w:lineRule="auto"/>
      </w:pPr>
      <w:r>
        <w:rPr>
          <w:sz w:val="18"/>
        </w:rPr>
        <w:t>reports/p4_d084_fig3_controlled/manifest.json</w:t>
        <w:br/>
        <w:t>SHA256 7f88cd323e515ab3928c35f767205c54590e3d18a574562ba9d50d4406fe8d8f</w:t>
      </w:r>
    </w:p>
    <w:p>
      <w:pPr>
        <w:spacing w:after="100" w:line="269" w:lineRule="auto"/>
      </w:pPr>
      <w:r>
        <w:rPr>
          <w:sz w:val="18"/>
        </w:rPr>
        <w:t>reports/p4_d084_pcs_difficulty/manifest.json</w:t>
        <w:br/>
        <w:t>SHA256 5104ee0eb9dae574b03b77e54016b53d9611113455c1ace2a02c138b4c90d0ee</w:t>
      </w:r>
    </w:p>
    <w:p>
      <w:pPr>
        <w:spacing w:after="100" w:line="269" w:lineRule="auto"/>
      </w:pPr>
      <w:r>
        <w:rPr>
          <w:sz w:val="18"/>
        </w:rPr>
        <w:t>configs/p4_d083/fig3_controlled_v1.json</w:t>
        <w:br/>
        <w:t>SHA256 c1d0f0ed2d8b2542ed474707c59a2d03acb4f3455598d550dc71a947f0e43150</w:t>
      </w:r>
    </w:p>
    <w:p>
      <w:pPr>
        <w:spacing w:after="100" w:line="269" w:lineRule="auto"/>
      </w:pPr>
      <w:r>
        <w:rPr>
          <w:sz w:val="18"/>
        </w:rPr>
        <w:t>configs/p4_d083/difficult_v1.json</w:t>
        <w:br/>
        <w:t>SHA256 3827dc28f9226cc45bde0bb1463cbf167ee13cab603a7e521462fb0e24dd2159</w:t>
      </w:r>
    </w:p>
    <w:p>
      <w:pPr>
        <w:spacing w:after="100" w:line="269" w:lineRule="auto"/>
      </w:pPr>
      <w:r>
        <w:t>S3 原结果位于 results/20261022_D083_fig3_controlled02；raw_pairs 的 180 个 gzip（45389043 bytes）仍仅本地保存，逐文件 SHA 在该结果及交付包的 artifact_sha256.json。S4 原结果位于 results/20261022_D083_difficult02；raw_planner 的 35 个 gzip（8269303 bytes）仍仅本地保存，其逐文件 SHA 同样保留。失败目录 controlled01 与 difficult01、原 D083 草稿和所有渲染尝试均未删除；完整仅本地清单见 S5 交接。</w:t>
      </w:r>
    </w:p>
    <w:p>
      <w:pPr>
        <w:spacing w:after="100" w:line="269" w:lineRule="auto"/>
      </w:pPr>
      <w:r>
        <w:t>[1] Avishai Sintov, Andy Borum, Timothy Bretl. Motion Planning of Fully Actuated Closed Kinematic Chains With Revolute Joints: A Comparative Analysis. IEEE Robotics and Automation Letters, 3(4): 2886–2893, 2018. DOI 10.1109/LRA.2018.2846806。原作者八页稿 SHA256 193710e5a9d4284cf62b30ff189a1df038a9d5c5ce3f1545525dc2f78bea08c6；本文引用身份沿用 D082，不分发私有论文副本。</w:t>
      </w:r>
    </w:p>
    <w:p>
      <w:pPr>
        <w:spacing w:after="100" w:line="269" w:lineRule="auto"/>
      </w:pPr>
      <w:r>
        <w:t>[2] 作者 CKCplanning 参考源码快照 909bd72fff778aca8682c96f9eb86ae4eb75557b；本项目仓库 dreamerToTOE/dual-arm-coordinated-manipulation-reproduction，分支 p4-full-reproduction-pcs-study。作者依赖与本项目 Python/GEOS 重建环境不同，绝对时间不拼接计算跨架构加速比。</w:t>
      </w:r>
    </w:p>
    <w:sectPr w:rsidR="00FC693F" w:rsidRPr="0006063C" w:rsidSect="00034616">
      <w:footerReference w:type="default" r:id="rId9"/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P4 D084 证据整合报告  |  2026-10-25  |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Noto Sans CJK SC" w:hAnsi="Noto Sans CJK SC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P4 D084 证据整合最终报告</dc:title>
  <dc:subject>闭链规划、受控分划实验与双 ABB 空间离散证据</dc:subject>
  <dc:creator>P4 reproduction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