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F4767" w14:textId="77777777" w:rsidR="00770ADE" w:rsidRDefault="00770ADE"/>
    <w:p w14:paraId="1BE8A2D2" w14:textId="77777777" w:rsidR="00770ADE" w:rsidRDefault="00770ADE"/>
    <w:p w14:paraId="685EE72A" w14:textId="77777777" w:rsidR="00770ADE" w:rsidRDefault="00770ADE"/>
    <w:p w14:paraId="1CC22435" w14:textId="2A35ADF2" w:rsidR="00770ADE" w:rsidRDefault="00770ADE">
      <w:pPr>
        <w:rPr>
          <w:i/>
          <w:iCs/>
          <w:color w:val="00CCFF"/>
          <w:sz w:val="68"/>
          <w:szCs w:val="68"/>
        </w:rPr>
      </w:pPr>
      <w:r w:rsidRPr="00770ADE">
        <w:rPr>
          <w:i/>
          <w:iCs/>
          <w:noProof/>
          <w:color w:val="00CCFF"/>
          <w:sz w:val="68"/>
          <w:szCs w:val="68"/>
        </w:rPr>
        <w:drawing>
          <wp:anchor distT="0" distB="0" distL="114300" distR="114300" simplePos="0" relativeHeight="251658240" behindDoc="0" locked="0" layoutInCell="1" allowOverlap="1" wp14:anchorId="33D0E3AC" wp14:editId="001C8218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2971800" cy="4610100"/>
            <wp:effectExtent l="0" t="0" r="0" b="0"/>
            <wp:wrapThrough wrapText="bothSides">
              <wp:wrapPolygon edited="0">
                <wp:start x="0" y="0"/>
                <wp:lineTo x="0" y="21511"/>
                <wp:lineTo x="21462" y="21511"/>
                <wp:lineTo x="21462" y="0"/>
                <wp:lineTo x="0" y="0"/>
              </wp:wrapPolygon>
            </wp:wrapThrough>
            <wp:docPr id="123425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70ADE">
        <w:rPr>
          <w:i/>
          <w:iCs/>
          <w:color w:val="00CCFF"/>
          <w:sz w:val="68"/>
          <w:szCs w:val="68"/>
        </w:rPr>
        <w:t>Turn Real-World Challenges into Reliable Results!</w:t>
      </w:r>
    </w:p>
    <w:p w14:paraId="2A59BE27" w14:textId="77777777" w:rsidR="00770ADE" w:rsidRDefault="00770ADE">
      <w:pPr>
        <w:rPr>
          <w:i/>
          <w:iCs/>
          <w:color w:val="00CCFF"/>
          <w:sz w:val="68"/>
          <w:szCs w:val="68"/>
        </w:rPr>
      </w:pPr>
    </w:p>
    <w:p w14:paraId="79146C83" w14:textId="77777777" w:rsidR="00770ADE" w:rsidRDefault="00770ADE">
      <w:pPr>
        <w:rPr>
          <w:color w:val="00CCFF"/>
          <w:sz w:val="68"/>
          <w:szCs w:val="68"/>
        </w:rPr>
      </w:pPr>
    </w:p>
    <w:p w14:paraId="6B21E9A3" w14:textId="0F24B589" w:rsidR="00770ADE" w:rsidRDefault="00770A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PBL Ass</w:t>
      </w:r>
      <w:r w:rsidR="004C7152">
        <w:rPr>
          <w:b/>
          <w:bCs/>
          <w:sz w:val="32"/>
          <w:szCs w:val="32"/>
        </w:rPr>
        <w:t>a</w:t>
      </w:r>
      <w:r>
        <w:rPr>
          <w:b/>
          <w:bCs/>
          <w:sz w:val="32"/>
          <w:szCs w:val="32"/>
        </w:rPr>
        <w:t>y Science – your resource for Interferon and Cytokine Research</w:t>
      </w:r>
    </w:p>
    <w:p w14:paraId="428AF051" w14:textId="77777777" w:rsidR="00770ADE" w:rsidRDefault="00770ADE">
      <w:pPr>
        <w:rPr>
          <w:b/>
          <w:bCs/>
          <w:sz w:val="32"/>
          <w:szCs w:val="32"/>
        </w:rPr>
      </w:pPr>
    </w:p>
    <w:p w14:paraId="7D5548EB" w14:textId="77777777" w:rsidR="00770ADE" w:rsidRPr="00B20F05" w:rsidRDefault="00770ADE" w:rsidP="00770ADE">
      <w:pPr>
        <w:rPr>
          <w:i/>
          <w:iCs/>
        </w:rPr>
      </w:pPr>
      <w:r w:rsidRPr="00B20F05">
        <w:rPr>
          <w:i/>
          <w:iCs/>
        </w:rPr>
        <w:t>For 35 years, PBL has been the premier resource for interferon and cytokine research tools, delivering high-quality immunoassays that work in real-world conditions, recombinant proteins that have been the market standard for 35 years, and antibodies used by thousands of scientists worldwide</w:t>
      </w:r>
    </w:p>
    <w:p w14:paraId="0BA613E1" w14:textId="77777777" w:rsidR="00770ADE" w:rsidRDefault="00770ADE">
      <w:pPr>
        <w:rPr>
          <w:sz w:val="32"/>
          <w:szCs w:val="32"/>
        </w:rPr>
      </w:pPr>
    </w:p>
    <w:p w14:paraId="7815109F" w14:textId="77777777" w:rsidR="00770ADE" w:rsidRDefault="00770ADE">
      <w:pPr>
        <w:rPr>
          <w:sz w:val="32"/>
          <w:szCs w:val="32"/>
        </w:rPr>
      </w:pPr>
    </w:p>
    <w:p w14:paraId="47759926" w14:textId="1780CA40" w:rsidR="00770ADE" w:rsidRDefault="00770ADE" w:rsidP="00410712">
      <w:r w:rsidRPr="00B20F05">
        <w:lastRenderedPageBreak/>
        <w:t>Measuring cytokines with ELISA can be challenging in real-world conditions—wher</w:t>
      </w:r>
      <w:r>
        <w:t xml:space="preserve">e </w:t>
      </w:r>
      <w:r w:rsidRPr="00B20F05">
        <w:t xml:space="preserve">analyte levels are often extremely low, similar proteins risk cross-reactivity, and complex matrices like serum or plasma interfere with accuracy. PBL Assay Science’s ELISA kits are </w:t>
      </w:r>
      <w:r>
        <w:t>designed</w:t>
      </w:r>
      <w:r w:rsidRPr="00B20F05">
        <w:t xml:space="preserve"> to overcome these obstacles, delivering precise and reproducible results for your most critical research applications.</w:t>
      </w:r>
    </w:p>
    <w:p w14:paraId="5E841B11" w14:textId="77777777" w:rsidR="00770ADE" w:rsidRPr="00456256" w:rsidRDefault="00770ADE" w:rsidP="00770ADE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56256">
        <w:rPr>
          <w:sz w:val="22"/>
          <w:szCs w:val="22"/>
        </w:rPr>
        <w:t>High-Sensitivity enables low-abundance cytokines detection for better biological insights</w:t>
      </w:r>
    </w:p>
    <w:p w14:paraId="0D0F547D" w14:textId="77777777" w:rsidR="00770ADE" w:rsidRPr="00456256" w:rsidRDefault="00770ADE" w:rsidP="00770ADE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56256">
        <w:rPr>
          <w:sz w:val="22"/>
          <w:szCs w:val="22"/>
        </w:rPr>
        <w:t>Exceptional Specificity for Endogenous Targets eliminate false data for reliable results</w:t>
      </w:r>
    </w:p>
    <w:p w14:paraId="2028F5CF" w14:textId="77777777" w:rsidR="00770ADE" w:rsidRDefault="00770ADE" w:rsidP="00770ADE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56256">
        <w:rPr>
          <w:sz w:val="22"/>
          <w:szCs w:val="22"/>
        </w:rPr>
        <w:t>Superior Matrix-Tolerant Performance ensure relevant results from real-world healthy and diseased samples</w:t>
      </w:r>
    </w:p>
    <w:p w14:paraId="54A58F17" w14:textId="77777777" w:rsidR="00456256" w:rsidRPr="00456256" w:rsidRDefault="00456256" w:rsidP="00456256">
      <w:pPr>
        <w:pStyle w:val="ListParagraph"/>
        <w:ind w:left="1440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6"/>
        <w:gridCol w:w="3098"/>
        <w:gridCol w:w="3096"/>
      </w:tblGrid>
      <w:tr w:rsidR="00456256" w14:paraId="7D734041" w14:textId="77777777" w:rsidTr="00456256">
        <w:tc>
          <w:tcPr>
            <w:tcW w:w="3116" w:type="dxa"/>
          </w:tcPr>
          <w:p w14:paraId="2A4EA557" w14:textId="271C8C34" w:rsidR="00456256" w:rsidRDefault="00456256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inline distT="0" distB="0" distL="0" distR="0" wp14:anchorId="0D3B7292" wp14:editId="3CA7100C">
                  <wp:extent cx="1863911" cy="1457325"/>
                  <wp:effectExtent l="0" t="0" r="3175" b="0"/>
                  <wp:docPr id="145199132" name="Picture 1" descr="A graph of different colored ba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99132" name="Picture 1" descr="A graph of different colored bar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1799" cy="1463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3F0A0087" w14:textId="77777777" w:rsidR="00456256" w:rsidRDefault="00456256">
            <w:pPr>
              <w:rPr>
                <w:rFonts w:ascii="Times New Roman" w:hAnsi="Times New Roman" w:cs="Times New Roman"/>
                <w:noProof/>
                <w:kern w:val="0"/>
                <w14:ligatures w14:val="none"/>
              </w:rPr>
            </w:pPr>
          </w:p>
          <w:p w14:paraId="2629B953" w14:textId="7DC31FD1" w:rsidR="00456256" w:rsidRDefault="00456256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anchor distT="36576" distB="36576" distL="36576" distR="36576" simplePos="0" relativeHeight="251660288" behindDoc="0" locked="0" layoutInCell="1" allowOverlap="1" wp14:anchorId="41A8A0E4" wp14:editId="7D31305A">
                  <wp:simplePos x="0" y="0"/>
                  <wp:positionH relativeFrom="margin">
                    <wp:posOffset>-635</wp:posOffset>
                  </wp:positionH>
                  <wp:positionV relativeFrom="paragraph">
                    <wp:posOffset>44450</wp:posOffset>
                  </wp:positionV>
                  <wp:extent cx="1647825" cy="1182170"/>
                  <wp:effectExtent l="0" t="0" r="0" b="0"/>
                  <wp:wrapNone/>
                  <wp:docPr id="1533611857" name="Picture 2" descr="A graph of different colored ba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611857" name="Picture 2" descr="A graph of different colored bar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182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117" w:type="dxa"/>
          </w:tcPr>
          <w:p w14:paraId="412CC8CD" w14:textId="1F1AE940" w:rsidR="00456256" w:rsidRDefault="00456256">
            <w:pPr>
              <w:rPr>
                <w:sz w:val="22"/>
                <w:szCs w:val="22"/>
              </w:rPr>
            </w:pPr>
            <w:r w:rsidRPr="0020590C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3CBDDACD" wp14:editId="3A2F2A1F">
                  <wp:simplePos x="0" y="0"/>
                  <wp:positionH relativeFrom="column">
                    <wp:posOffset>-3809</wp:posOffset>
                  </wp:positionH>
                  <wp:positionV relativeFrom="paragraph">
                    <wp:posOffset>176531</wp:posOffset>
                  </wp:positionV>
                  <wp:extent cx="1815174" cy="990600"/>
                  <wp:effectExtent l="0" t="0" r="0" b="0"/>
                  <wp:wrapNone/>
                  <wp:docPr id="189879183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8557" cy="992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B770E8" w14:textId="1300C1E3" w:rsidR="00456256" w:rsidRDefault="00456256">
            <w:pPr>
              <w:rPr>
                <w:sz w:val="22"/>
                <w:szCs w:val="22"/>
              </w:rPr>
            </w:pPr>
          </w:p>
        </w:tc>
      </w:tr>
      <w:tr w:rsidR="00456256" w14:paraId="4F5055A2" w14:textId="77777777" w:rsidTr="00456256">
        <w:tc>
          <w:tcPr>
            <w:tcW w:w="3116" w:type="dxa"/>
          </w:tcPr>
          <w:p w14:paraId="497504DC" w14:textId="57F3D235" w:rsidR="00456256" w:rsidRPr="00456256" w:rsidRDefault="00456256" w:rsidP="00456256">
            <w:pPr>
              <w:jc w:val="center"/>
              <w:rPr>
                <w:sz w:val="20"/>
                <w:szCs w:val="20"/>
              </w:rPr>
            </w:pPr>
            <w:r w:rsidRPr="00456256">
              <w:rPr>
                <w:sz w:val="20"/>
                <w:szCs w:val="20"/>
              </w:rPr>
              <w:t>High sensitivity IFN-Alpha All-Subtype detection revealed early IFN-alpha expression point and total IFN-alpha concentrations that other kits missed</w:t>
            </w:r>
          </w:p>
        </w:tc>
        <w:tc>
          <w:tcPr>
            <w:tcW w:w="3117" w:type="dxa"/>
          </w:tcPr>
          <w:p w14:paraId="29484085" w14:textId="42529502" w:rsidR="00456256" w:rsidRPr="00456256" w:rsidRDefault="00456256" w:rsidP="00456256">
            <w:pPr>
              <w:jc w:val="center"/>
              <w:rPr>
                <w:sz w:val="20"/>
                <w:szCs w:val="20"/>
              </w:rPr>
            </w:pPr>
            <w:r w:rsidRPr="00456256">
              <w:rPr>
                <w:sz w:val="20"/>
                <w:szCs w:val="20"/>
              </w:rPr>
              <w:t>Real-world disease patient serum testing for endogenous IL-22 shows near-100% detectability compared to other kits that failed to detect IL-22 in disease serum</w:t>
            </w:r>
          </w:p>
        </w:tc>
        <w:tc>
          <w:tcPr>
            <w:tcW w:w="3117" w:type="dxa"/>
          </w:tcPr>
          <w:p w14:paraId="53DFE490" w14:textId="0D9A12BD" w:rsidR="00456256" w:rsidRPr="00456256" w:rsidRDefault="00456256" w:rsidP="00456256">
            <w:pPr>
              <w:jc w:val="center"/>
              <w:rPr>
                <w:sz w:val="20"/>
                <w:szCs w:val="20"/>
              </w:rPr>
            </w:pPr>
            <w:r w:rsidRPr="00456256">
              <w:rPr>
                <w:sz w:val="20"/>
                <w:szCs w:val="20"/>
              </w:rPr>
              <w:t>Levels of IFN-Beta quantified in normal (healthy) human sera (NHS) and Multiple Sclerosis (MS) patient sera with and without IFN treatment</w:t>
            </w:r>
          </w:p>
        </w:tc>
      </w:tr>
    </w:tbl>
    <w:p w14:paraId="35BC5B34" w14:textId="77777777" w:rsidR="00770ADE" w:rsidRDefault="00770ADE">
      <w:pPr>
        <w:rPr>
          <w:sz w:val="22"/>
          <w:szCs w:val="22"/>
        </w:rPr>
      </w:pPr>
    </w:p>
    <w:p w14:paraId="4D217328" w14:textId="2D316211" w:rsidR="00456256" w:rsidRDefault="00456256" w:rsidP="00456256">
      <w:pPr>
        <w:jc w:val="center"/>
        <w:rPr>
          <w:sz w:val="22"/>
          <w:szCs w:val="22"/>
        </w:rPr>
      </w:pPr>
      <w:r w:rsidRPr="007A3E2E">
        <w:rPr>
          <w:noProof/>
        </w:rPr>
        <w:drawing>
          <wp:inline distT="0" distB="0" distL="0" distR="0" wp14:anchorId="5A8BE09E" wp14:editId="54BDB0A8">
            <wp:extent cx="4600575" cy="2729380"/>
            <wp:effectExtent l="0" t="0" r="0" b="0"/>
            <wp:docPr id="13074444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465" cy="2795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F4897" w14:textId="77777777" w:rsidR="00456256" w:rsidRPr="00456256" w:rsidRDefault="00456256" w:rsidP="00456256">
      <w:pPr>
        <w:rPr>
          <w:sz w:val="22"/>
          <w:szCs w:val="22"/>
        </w:rPr>
      </w:pPr>
      <w:r w:rsidRPr="00456256">
        <w:rPr>
          <w:sz w:val="22"/>
          <w:szCs w:val="22"/>
        </w:rPr>
        <w:lastRenderedPageBreak/>
        <w:t>Type I Interferon research often faces practical challenges in the lab, including variability in protein activity between lots, inaccurate dosing from mass-based measurements, and cross-reactivity among subtypes. PBL Assay Science addresses these issues by providing lot-tested proteins in activity units and validated antibodies for dependable results.</w:t>
      </w:r>
    </w:p>
    <w:p w14:paraId="0D90BA3A" w14:textId="77777777" w:rsidR="00456256" w:rsidRPr="00456256" w:rsidRDefault="00456256" w:rsidP="0045625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456256">
        <w:rPr>
          <w:sz w:val="22"/>
          <w:szCs w:val="22"/>
        </w:rPr>
        <w:t>Lot-Specific Bioactivity Testing ensures consistent performance across experiments by reducing variability, giving researchers confidence in reproducible results</w:t>
      </w:r>
    </w:p>
    <w:p w14:paraId="0444EFBB" w14:textId="77777777" w:rsidR="00456256" w:rsidRPr="00456256" w:rsidRDefault="00456256" w:rsidP="0045625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456256">
        <w:rPr>
          <w:sz w:val="22"/>
          <w:szCs w:val="22"/>
        </w:rPr>
        <w:t>Functional proteins are provided in activity units rather than mass, allowing researchers to dose based on biological potency instead than weight—critical for accurate functional studies</w:t>
      </w:r>
    </w:p>
    <w:p w14:paraId="63AD964C" w14:textId="77777777" w:rsidR="00456256" w:rsidRDefault="00456256" w:rsidP="0045625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456256">
        <w:rPr>
          <w:sz w:val="22"/>
          <w:szCs w:val="22"/>
        </w:rPr>
        <w:t>Highly Specific Antibodies designed for IFN research that allow IFN-alpha all-subtype neutralization, Type I IFN signal knockdown.</w:t>
      </w:r>
    </w:p>
    <w:p w14:paraId="7D38959C" w14:textId="77777777" w:rsidR="00456256" w:rsidRDefault="00456256" w:rsidP="00456256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3"/>
        <w:gridCol w:w="3214"/>
        <w:gridCol w:w="3003"/>
      </w:tblGrid>
      <w:tr w:rsidR="00456256" w14:paraId="0B858196" w14:textId="77777777" w:rsidTr="00456256">
        <w:tc>
          <w:tcPr>
            <w:tcW w:w="3116" w:type="dxa"/>
          </w:tcPr>
          <w:p w14:paraId="7E009CDF" w14:textId="0EE5BB5E" w:rsidR="00456256" w:rsidRDefault="00456256" w:rsidP="00456256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inline distT="0" distB="0" distL="0" distR="0" wp14:anchorId="1E51C703" wp14:editId="424C8AF7">
                  <wp:extent cx="1914525" cy="2509360"/>
                  <wp:effectExtent l="0" t="0" r="0" b="5715"/>
                  <wp:docPr id="1807282056" name="Picture 3" descr="A graph of activity and activ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282056" name="Picture 3" descr="A graph of activity and activity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250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338533E0" w14:textId="3F759D36" w:rsidR="00456256" w:rsidRDefault="00456256" w:rsidP="00456256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inline distT="0" distB="0" distL="0" distR="0" wp14:anchorId="1E1D06F9" wp14:editId="13545E3B">
                  <wp:extent cx="1967578" cy="2171700"/>
                  <wp:effectExtent l="0" t="0" r="0" b="0"/>
                  <wp:docPr id="698937040" name="Picture 4" descr="A graph of a number of colored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937040" name="Picture 4" descr="A graph of a number of colored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6118" cy="21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35A2BE91" w14:textId="77777777" w:rsidR="00456256" w:rsidRDefault="00456256" w:rsidP="00456256">
            <w:pPr>
              <w:rPr>
                <w:sz w:val="22"/>
                <w:szCs w:val="22"/>
              </w:rPr>
            </w:pPr>
          </w:p>
          <w:p w14:paraId="788F0DFF" w14:textId="77777777" w:rsidR="00456256" w:rsidRPr="00456256" w:rsidRDefault="00456256" w:rsidP="00456256">
            <w:pPr>
              <w:rPr>
                <w:sz w:val="22"/>
                <w:szCs w:val="22"/>
              </w:rPr>
            </w:pPr>
          </w:p>
        </w:tc>
        <w:tc>
          <w:tcPr>
            <w:tcW w:w="3117" w:type="dxa"/>
          </w:tcPr>
          <w:p w14:paraId="5E082B2D" w14:textId="77777777" w:rsidR="00456256" w:rsidRDefault="00456256" w:rsidP="00456256">
            <w:pPr>
              <w:rPr>
                <w:sz w:val="22"/>
                <w:szCs w:val="22"/>
              </w:rPr>
            </w:pPr>
          </w:p>
          <w:p w14:paraId="4BBFB48A" w14:textId="77777777" w:rsidR="00456256" w:rsidRDefault="00456256" w:rsidP="00456256">
            <w:pPr>
              <w:rPr>
                <w:sz w:val="22"/>
                <w:szCs w:val="22"/>
              </w:rPr>
            </w:pPr>
          </w:p>
          <w:p w14:paraId="2318DA90" w14:textId="147DED79" w:rsidR="00456256" w:rsidRDefault="00456256" w:rsidP="00456256">
            <w:pPr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E0BFE8B" wp14:editId="59A99BD6">
                  <wp:extent cx="1828248" cy="1457325"/>
                  <wp:effectExtent l="0" t="0" r="635" b="0"/>
                  <wp:docPr id="121861224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8063" cy="1473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256" w14:paraId="7BE480FC" w14:textId="77777777" w:rsidTr="00456256">
        <w:tc>
          <w:tcPr>
            <w:tcW w:w="3116" w:type="dxa"/>
          </w:tcPr>
          <w:p w14:paraId="1BC8FE9B" w14:textId="1FBDDD92" w:rsidR="00456256" w:rsidRPr="004042AE" w:rsidRDefault="004042AE" w:rsidP="004042AE">
            <w:pPr>
              <w:jc w:val="center"/>
              <w:rPr>
                <w:sz w:val="20"/>
                <w:szCs w:val="20"/>
              </w:rPr>
            </w:pPr>
            <w:r w:rsidRPr="004042AE">
              <w:rPr>
                <w:sz w:val="20"/>
                <w:szCs w:val="20"/>
              </w:rPr>
              <w:t>Lot-to-lot bioactivity testing of PBL’s Universal Type I IFN shows cross-species applicability.</w:t>
            </w:r>
          </w:p>
        </w:tc>
        <w:tc>
          <w:tcPr>
            <w:tcW w:w="3117" w:type="dxa"/>
          </w:tcPr>
          <w:p w14:paraId="08DC531C" w14:textId="7BEB8B43" w:rsidR="00456256" w:rsidRPr="004042AE" w:rsidRDefault="004042AE" w:rsidP="004042AE">
            <w:pPr>
              <w:jc w:val="center"/>
              <w:rPr>
                <w:sz w:val="20"/>
                <w:szCs w:val="20"/>
              </w:rPr>
            </w:pPr>
            <w:r w:rsidRPr="004042AE">
              <w:rPr>
                <w:sz w:val="20"/>
                <w:szCs w:val="20"/>
              </w:rPr>
              <w:t xml:space="preserve">Collaborated with IFN researchers to develop fit-for-purpose Anti-human IFNLR1 antibody for Flow Cytometry (de Weerd NA, </w:t>
            </w:r>
            <w:r w:rsidRPr="004042AE">
              <w:rPr>
                <w:i/>
                <w:iCs/>
                <w:sz w:val="20"/>
                <w:szCs w:val="20"/>
              </w:rPr>
              <w:t>et al.</w:t>
            </w:r>
            <w:r w:rsidRPr="004042AE">
              <w:rPr>
                <w:sz w:val="20"/>
                <w:szCs w:val="20"/>
              </w:rPr>
              <w:t xml:space="preserve"> JICR, 43(9):403, 2023</w:t>
            </w:r>
          </w:p>
        </w:tc>
        <w:tc>
          <w:tcPr>
            <w:tcW w:w="3117" w:type="dxa"/>
          </w:tcPr>
          <w:p w14:paraId="076D01A3" w14:textId="43AC4658" w:rsidR="00456256" w:rsidRDefault="004042AE" w:rsidP="004042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Designed to address real-world challenges such as comprehensive human Type I IFNs neutralization</w:t>
            </w:r>
          </w:p>
        </w:tc>
      </w:tr>
    </w:tbl>
    <w:p w14:paraId="515D9A72" w14:textId="77777777" w:rsidR="00456256" w:rsidRDefault="00456256" w:rsidP="00456256">
      <w:pPr>
        <w:rPr>
          <w:sz w:val="22"/>
          <w:szCs w:val="22"/>
        </w:rPr>
      </w:pPr>
    </w:p>
    <w:p w14:paraId="5666A18C" w14:textId="77777777" w:rsidR="004042AE" w:rsidRDefault="004042AE" w:rsidP="00456256">
      <w:pPr>
        <w:rPr>
          <w:sz w:val="22"/>
          <w:szCs w:val="22"/>
        </w:rPr>
      </w:pPr>
    </w:p>
    <w:p w14:paraId="3A6E82C1" w14:textId="77777777" w:rsidR="004042AE" w:rsidRDefault="004042AE" w:rsidP="00456256">
      <w:pPr>
        <w:rPr>
          <w:sz w:val="22"/>
          <w:szCs w:val="22"/>
        </w:rPr>
      </w:pPr>
    </w:p>
    <w:p w14:paraId="215165B4" w14:textId="77777777" w:rsidR="004042AE" w:rsidRPr="00456256" w:rsidRDefault="004042AE" w:rsidP="00456256">
      <w:pPr>
        <w:rPr>
          <w:sz w:val="22"/>
          <w:szCs w:val="22"/>
        </w:rPr>
      </w:pPr>
    </w:p>
    <w:p w14:paraId="241325E0" w14:textId="4A5738A4" w:rsidR="004042AE" w:rsidRPr="004042AE" w:rsidRDefault="004042AE" w:rsidP="004042AE">
      <w:pPr>
        <w:ind w:left="720"/>
        <w:jc w:val="center"/>
        <w:rPr>
          <w:sz w:val="36"/>
          <w:szCs w:val="36"/>
        </w:rPr>
      </w:pPr>
      <w:r w:rsidRPr="004042AE">
        <w:rPr>
          <w:sz w:val="36"/>
          <w:szCs w:val="36"/>
        </w:rPr>
        <w:t>With PBL Ass</w:t>
      </w:r>
      <w:r w:rsidR="004C7152">
        <w:rPr>
          <w:sz w:val="36"/>
          <w:szCs w:val="36"/>
        </w:rPr>
        <w:t>a</w:t>
      </w:r>
      <w:r w:rsidRPr="004042AE">
        <w:rPr>
          <w:sz w:val="36"/>
          <w:szCs w:val="36"/>
        </w:rPr>
        <w:t>y Science, you can trust your data and accelerate discoveries in immunology, inflammation, and translational research.</w:t>
      </w:r>
    </w:p>
    <w:p w14:paraId="777E0D92" w14:textId="318806F7" w:rsidR="00456256" w:rsidRDefault="004042AE" w:rsidP="004042AE">
      <w:pPr>
        <w:jc w:val="center"/>
        <w:rPr>
          <w:sz w:val="22"/>
          <w:szCs w:val="22"/>
        </w:rPr>
      </w:pPr>
      <w:r w:rsidRPr="00C051BF">
        <w:rPr>
          <w:noProof/>
        </w:rPr>
        <w:lastRenderedPageBreak/>
        <w:drawing>
          <wp:inline distT="0" distB="0" distL="0" distR="0" wp14:anchorId="4A7FF5B1" wp14:editId="2A01577A">
            <wp:extent cx="4800830" cy="7210425"/>
            <wp:effectExtent l="0" t="0" r="0" b="0"/>
            <wp:docPr id="19132872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605" cy="7217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F4B5C" w14:textId="77777777" w:rsidR="004042AE" w:rsidRDefault="004042AE" w:rsidP="00456256">
      <w:pPr>
        <w:rPr>
          <w:sz w:val="22"/>
          <w:szCs w:val="22"/>
        </w:rPr>
      </w:pPr>
    </w:p>
    <w:p w14:paraId="496698D7" w14:textId="0AA0E624" w:rsidR="004042AE" w:rsidRPr="00770ADE" w:rsidRDefault="00D5138E" w:rsidP="004042AE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Company </w:t>
      </w:r>
      <w:r w:rsidR="004042AE">
        <w:rPr>
          <w:sz w:val="22"/>
          <w:szCs w:val="22"/>
        </w:rPr>
        <w:t>Contact Information</w:t>
      </w:r>
    </w:p>
    <w:sectPr w:rsidR="004042AE" w:rsidRPr="00770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A7248"/>
    <w:multiLevelType w:val="hybridMultilevel"/>
    <w:tmpl w:val="0D8C05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781378E"/>
    <w:multiLevelType w:val="hybridMultilevel"/>
    <w:tmpl w:val="1CB0D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964491">
    <w:abstractNumId w:val="0"/>
  </w:num>
  <w:num w:numId="2" w16cid:durableId="1727485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DE"/>
    <w:rsid w:val="00032D4C"/>
    <w:rsid w:val="00175B9B"/>
    <w:rsid w:val="002D3FFB"/>
    <w:rsid w:val="004042AE"/>
    <w:rsid w:val="00410712"/>
    <w:rsid w:val="00456256"/>
    <w:rsid w:val="004C7152"/>
    <w:rsid w:val="00770ADE"/>
    <w:rsid w:val="008444C8"/>
    <w:rsid w:val="00906E85"/>
    <w:rsid w:val="00AB1175"/>
    <w:rsid w:val="00D5138E"/>
    <w:rsid w:val="00E42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E492B"/>
  <w15:chartTrackingRefBased/>
  <w15:docId w15:val="{3CEA2A6C-AF4B-4091-8B8E-BA8408249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A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6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DD1B4-BD59-418B-B4F3-C854D3A59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382</Words>
  <Characters>2535</Characters>
  <Application>Microsoft Office Word</Application>
  <DocSecurity>0</DocSecurity>
  <Lines>93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Hong-Gee Lee</dc:creator>
  <cp:keywords/>
  <dc:description/>
  <cp:lastModifiedBy>Hong-Gee Lee</cp:lastModifiedBy>
  <cp:revision>4</cp:revision>
  <dcterms:created xsi:type="dcterms:W3CDTF">2026-01-15T20:02:00Z</dcterms:created>
  <dcterms:modified xsi:type="dcterms:W3CDTF">2026-01-20T18:22:00Z</dcterms:modified>
</cp:coreProperties>
</file>