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0000"/>
          <w:sz w:val="32"/>
        </w:rPr>
        <w:t>THz-TDS 온도 의존성 광학물성 측정 요약보고서</w:t>
      </w:r>
    </w:p>
    <w:p>
      <w:pPr>
        <w:jc w:val="center"/>
      </w:pPr>
      <w:r>
        <w:rPr>
          <w:color w:val="505050"/>
          <w:sz w:val="22"/>
        </w:rPr>
        <w:t>PE20 이차전지 분리막의 온도별 굴절률 및 흡수계수 분석</w:t>
      </w:r>
    </w:p>
    <w:p/>
    <w:p>
      <w:pPr>
        <w:pStyle w:val="Heading1"/>
      </w:pPr>
      <w:r>
        <w:t>1. 실험 개요</w:t>
      </w:r>
    </w:p>
    <w:p>
      <w:r>
        <w:t>본 연구에서는 테라헤르츠 시간영역 분광법(THz-TDS)을 이용하여 이차전지용 다공성 폴리에틸렌(PE) 분리막의 온도 의존성 광학물성을 측정하였다. 분리막의 열적 안정성은 배터리 안전성과 직결되며, THz 대역에서의 비파괴 온도 모니터링 가능성을 평가하고자 하였다.</w:t>
      </w:r>
    </w:p>
    <w:p>
      <w:pPr>
        <w:pStyle w:val="Heading2"/>
      </w:pPr>
      <w:r>
        <w:t>1.1 시료 및 장비</w:t>
      </w:r>
    </w:p>
    <w:p>
      <w:pPr>
        <w:pStyle w:val="ListBullet"/>
      </w:pPr>
      <w:r>
        <w:rPr>
          <w:b/>
        </w:rPr>
        <w:t xml:space="preserve">시료: </w:t>
      </w:r>
      <w:r>
        <w:t>PE20 다공성 PE 분리막 (두께 20 μm)</w:t>
      </w:r>
    </w:p>
    <w:p>
      <w:pPr>
        <w:pStyle w:val="ListBullet"/>
      </w:pPr>
      <w:r>
        <w:rPr>
          <w:b/>
        </w:rPr>
        <w:t xml:space="preserve">장비: </w:t>
      </w:r>
      <w:r>
        <w:t>Menlo Systems ScanControl, Lytera THz-TDS</w:t>
      </w:r>
    </w:p>
    <w:p>
      <w:pPr>
        <w:pStyle w:val="ListBullet"/>
      </w:pPr>
      <w:r>
        <w:rPr>
          <w:b/>
        </w:rPr>
        <w:t xml:space="preserve">온도 범위: </w:t>
      </w:r>
      <w:r>
        <w:t>20–110 °C (10 °C 간격, 총 10개 온도)</w:t>
      </w:r>
    </w:p>
    <w:p>
      <w:pPr>
        <w:pStyle w:val="ListBullet"/>
      </w:pPr>
      <w:r>
        <w:rPr>
          <w:b/>
        </w:rPr>
        <w:t xml:space="preserve">반복 측정: </w:t>
      </w:r>
      <w:r>
        <w:t>각 온도당 5회 반복 (총 50개 시료 + 1개 레퍼런스)</w:t>
      </w:r>
    </w:p>
    <w:p>
      <w:pPr>
        <w:pStyle w:val="ListBullet"/>
      </w:pPr>
      <w:r>
        <w:rPr>
          <w:b/>
        </w:rPr>
        <w:t xml:space="preserve">데이터: </w:t>
      </w:r>
      <w:r>
        <w:t>3,000 포인트/파형, 5회 평균, Tab-separated txt</w:t>
      </w:r>
    </w:p>
    <w:p>
      <w:pPr>
        <w:pStyle w:val="Heading1"/>
      </w:pPr>
      <w:r>
        <w:t>2. 분석 방법</w:t>
      </w:r>
    </w:p>
    <w:p>
      <w:pPr>
        <w:pStyle w:val="Heading2"/>
      </w:pPr>
      <w:r>
        <w:t>2.1 신호 처리</w:t>
      </w:r>
    </w:p>
    <w:p>
      <w:r>
        <w:t>시간영역 신호에 Hann 윈도우 함수를 적용한 후 zero-padding(×2)과 함께 FFT를 수행하여 주파수 영역으로 변환하였다. 전달함수 H(ω) = E_sam(ω)/E_ref(ω)를 계산하고, Nelder-Mead 최적화를 통해 각 주파수에서 굴절률(n)과 소광계수(κ)를 추출하였다.</w:t>
      </w:r>
    </w:p>
    <w:p>
      <w:pPr>
        <w:pStyle w:val="Heading2"/>
      </w:pPr>
      <w:r>
        <w:t>2.2 박막 근사</w:t>
      </w:r>
    </w:p>
    <w:p>
      <w:r>
        <w:t>시료 두께(20 μm)가 THz 파장(~300 μm at 1 THz)보다 충분히 작으므로 박막 근사(thin-film approximation)를 적용하였다. 이 경우 Fresnel 반사 손실을 무시하고 H ≈ exp[−j(ñ − n_air)k₀d]로 간략화된다.</w:t>
      </w:r>
    </w:p>
    <w:p>
      <w:pPr>
        <w:pStyle w:val="Heading2"/>
      </w:pPr>
      <w:r>
        <w:t>2.3 분석 방법론</w:t>
      </w:r>
    </w:p>
    <w:p>
      <w:r>
        <w:rPr>
          <w:b/>
        </w:rPr>
        <w:t xml:space="preserve">Method 2 (절대 분석): </w:t>
      </w:r>
      <w:r>
        <w:t>H(ω) = E_sam(T)/E_ref(air, 20°C). 공기 레퍼런스 대비 절대 광학물성을 추출한다. 챔버 내 공기의 온도별 굴절률 변화를 보정한다.</w:t>
      </w:r>
    </w:p>
    <w:p>
      <w:r>
        <w:rPr>
          <w:b/>
        </w:rPr>
        <w:t xml:space="preserve">Method 3 (차등 분석): </w:t>
      </w:r>
      <w:r>
        <w:t>H(ω) = E_sam(T)/E_sam(20°C). 20°C 시료를 기준으로 한 상대적 변화(Δn, Δα)를 추출한다. 공기 레퍼런스에 의한 체계적 오차를 줄일 수 있다.</w:t>
      </w:r>
    </w:p>
    <w:p>
      <w:pPr>
        <w:pStyle w:val="Heading1"/>
      </w:pPr>
      <w:r>
        <w:t>3. 측정 결과</w:t>
      </w:r>
    </w:p>
    <w:p>
      <w:pPr>
        <w:pStyle w:val="Heading2"/>
      </w:pPr>
      <w:r>
        <w:t>3.1 시간영역 파형</w:t>
      </w:r>
    </w:p>
    <w:p>
      <w:pPr>
        <w:jc w:val="center"/>
      </w:pPr>
      <w:r>
        <w:drawing>
          <wp:inline xmlns:a="http://schemas.openxmlformats.org/drawingml/2006/main" xmlns:pic="http://schemas.openxmlformats.org/drawingml/2006/picture">
            <wp:extent cx="2160000" cy="1954588"/>
            <wp:docPr id="1" name="Picture 1"/>
            <wp:cNvGraphicFramePr>
              <a:graphicFrameLocks noChangeAspect="1"/>
            </wp:cNvGraphicFramePr>
            <a:graphic>
              <a:graphicData uri="http://schemas.openxmlformats.org/drawingml/2006/picture">
                <pic:pic>
                  <pic:nvPicPr>
                    <pic:cNvPr id="0" name="fig1_time_domain.png"/>
                    <pic:cNvPicPr/>
                  </pic:nvPicPr>
                  <pic:blipFill>
                    <a:blip r:embed="rId9"/>
                    <a:stretch>
                      <a:fillRect/>
                    </a:stretch>
                  </pic:blipFill>
                  <pic:spPr>
                    <a:xfrm>
                      <a:off x="0" y="0"/>
                      <a:ext cx="2160000" cy="1954588"/>
                    </a:xfrm>
                    <a:prstGeom prst="rect"/>
                  </pic:spPr>
                </pic:pic>
              </a:graphicData>
            </a:graphic>
          </wp:inline>
        </w:drawing>
      </w:r>
    </w:p>
    <w:p>
      <w:pPr>
        <w:jc w:val="center"/>
      </w:pPr>
      <w:r>
        <w:rPr>
          <w:i/>
          <w:sz w:val="16"/>
        </w:rPr>
        <w:t>Fig. 1. THz 시간영역 파형. 검정: 공기 레퍼런스, 색상: 20–110 °C 시료. 인셋: 피크 부근 확대 (온도 증가 시 시간 시프트 및 진폭 변화 관찰).</w:t>
      </w:r>
    </w:p>
    <w:p>
      <w:r>
        <w:t>Fig. 1에 레퍼런스(공기)와 10개 온도에서의 THz 시간영역 파형을 나타내었다. 20 μm 박막이므로 레퍼런스와 시료 신호의 차이는 미세하나, 인셋 확대에서 온도 증가에 따른 펄스 도달 시간의 좌측 이동(leftward shift)과 진폭 증가가 관찰된다. 이는 고온에서 분리막의 다공성 감소로 인한 산란 저감 및 투과율 증가와 일치한다.</w:t>
      </w:r>
    </w:p>
    <w:p>
      <w:pPr>
        <w:pStyle w:val="Heading2"/>
      </w:pPr>
      <w:r>
        <w:t>3.2 절대 분석 결과 (Method 2)</w:t>
      </w:r>
    </w:p>
    <w:tbl>
      <w:tblPr>
        <w:tblW w:type="auto" w:w="0"/>
        <w:jc w:val="center"/>
        <w:tblLook w:firstColumn="1" w:firstRow="1" w:lastColumn="0" w:lastRow="0" w:noHBand="0" w:noVBand="1" w:val="04A0"/>
      </w:tblPr>
      <w:tblGrid>
        <w:gridCol w:w="4703"/>
        <w:gridCol w:w="4703"/>
      </w:tblGrid>
      <w:tr>
        <w:tc>
          <w:tcPr>
            <w:tcW w:type="dxa" w:w="3969"/>
            <w:tcBorders>
              <w:top w:val="none" w:sz="0"/>
              <w:left w:val="none" w:sz="0"/>
              <w:bottom w:val="none" w:sz="0"/>
              <w:right w:val="none" w:sz="0"/>
            </w:tcBorders>
          </w:tcPr>
          <w:p>
            <w:pPr>
              <w:jc w:val="center"/>
            </w:pPr>
            <w:r>
              <w:drawing>
                <wp:inline xmlns:a="http://schemas.openxmlformats.org/drawingml/2006/main" xmlns:pic="http://schemas.openxmlformats.org/drawingml/2006/picture">
                  <wp:extent cx="1980000" cy="1705932"/>
                  <wp:docPr id="2" name="Picture 2"/>
                  <wp:cNvGraphicFramePr>
                    <a:graphicFrameLocks noChangeAspect="1"/>
                  </wp:cNvGraphicFramePr>
                  <a:graphic>
                    <a:graphicData uri="http://schemas.openxmlformats.org/drawingml/2006/picture">
                      <pic:pic>
                        <pic:nvPicPr>
                          <pic:cNvPr id="0" name="fig2_m2_refractive_index.png"/>
                          <pic:cNvPicPr/>
                        </pic:nvPicPr>
                        <pic:blipFill>
                          <a:blip r:embed="rId10"/>
                          <a:stretch>
                            <a:fillRect/>
                          </a:stretch>
                        </pic:blipFill>
                        <pic:spPr>
                          <a:xfrm>
                            <a:off x="0" y="0"/>
                            <a:ext cx="1980000" cy="1705932"/>
                          </a:xfrm>
                          <a:prstGeom prst="rect"/>
                        </pic:spPr>
                      </pic:pic>
                    </a:graphicData>
                  </a:graphic>
                </wp:inline>
              </w:drawing>
            </w:r>
          </w:p>
        </w:tc>
        <w:tc>
          <w:tcPr>
            <w:tcW w:type="dxa" w:w="3969"/>
            <w:tcBorders>
              <w:top w:val="none" w:sz="0"/>
              <w:left w:val="none" w:sz="0"/>
              <w:bottom w:val="none" w:sz="0"/>
              <w:right w:val="none" w:sz="0"/>
            </w:tcBorders>
          </w:tcPr>
          <w:p>
            <w:pPr>
              <w:jc w:val="center"/>
            </w:pPr>
            <w:r>
              <w:drawing>
                <wp:inline xmlns:a="http://schemas.openxmlformats.org/drawingml/2006/main" xmlns:pic="http://schemas.openxmlformats.org/drawingml/2006/picture">
                  <wp:extent cx="1980000" cy="1675948"/>
                  <wp:docPr id="3" name="Picture 3"/>
                  <wp:cNvGraphicFramePr>
                    <a:graphicFrameLocks noChangeAspect="1"/>
                  </wp:cNvGraphicFramePr>
                  <a:graphic>
                    <a:graphicData uri="http://schemas.openxmlformats.org/drawingml/2006/picture">
                      <pic:pic>
                        <pic:nvPicPr>
                          <pic:cNvPr id="0" name="fig3_m2_absorption.png"/>
                          <pic:cNvPicPr/>
                        </pic:nvPicPr>
                        <pic:blipFill>
                          <a:blip r:embed="rId11"/>
                          <a:stretch>
                            <a:fillRect/>
                          </a:stretch>
                        </pic:blipFill>
                        <pic:spPr>
                          <a:xfrm>
                            <a:off x="0" y="0"/>
                            <a:ext cx="1980000" cy="1675948"/>
                          </a:xfrm>
                          <a:prstGeom prst="rect"/>
                        </pic:spPr>
                      </pic:pic>
                    </a:graphicData>
                  </a:graphic>
                </wp:inline>
              </w:drawing>
            </w:r>
          </w:p>
        </w:tc>
      </w:tr>
      <w:tr>
        <w:tc>
          <w:tcPr>
            <w:tcW w:type="dxa" w:w="3969"/>
            <w:tcBorders>
              <w:top w:val="none" w:sz="0"/>
              <w:left w:val="none" w:sz="0"/>
              <w:bottom w:val="none" w:sz="0"/>
              <w:right w:val="none" w:sz="0"/>
            </w:tcBorders>
          </w:tcPr>
          <w:p>
            <w:pPr>
              <w:jc w:val="center"/>
            </w:pPr>
            <w:r>
              <w:rPr>
                <w:i/>
                <w:sz w:val="16"/>
              </w:rPr>
              <w:t>Fig. 2(a). 굴절률 n(f) 스펙트럼</w:t>
            </w:r>
          </w:p>
        </w:tc>
        <w:tc>
          <w:tcPr>
            <w:tcW w:type="dxa" w:w="3969"/>
            <w:tcBorders>
              <w:top w:val="none" w:sz="0"/>
              <w:left w:val="none" w:sz="0"/>
              <w:bottom w:val="none" w:sz="0"/>
              <w:right w:val="none" w:sz="0"/>
            </w:tcBorders>
          </w:tcPr>
          <w:p>
            <w:pPr>
              <w:jc w:val="center"/>
            </w:pPr>
            <w:r>
              <w:rPr>
                <w:i/>
                <w:sz w:val="16"/>
              </w:rPr>
              <w:t>Fig. 2(b). 흡수계수 α(f) 스펙트럼</w:t>
            </w:r>
          </w:p>
        </w:tc>
      </w:tr>
    </w:tbl>
    <w:p>
      <w:r>
        <w:t>Fig. 2에 Method 2로 추출한 굴절률 및 흡수계수 스펙트럼을 나타내었다. 20°C에서 n ≈ 1.24로 벌크 PE(n ≈ 1.53)보다 낮은데, 이는 다공성 구조에 의한 유효 매질 효과이다. 온도 증가에 따라 n이 급격히 감소하여 90°C 이상에서 음수값을 보이는데, 이는 20 μm 초박막에서 챔버 내 공기 경로(~1 cm)의 온도 효과가 시료 효과를 압도하기 때문이다.</w:t>
      </w:r>
    </w:p>
    <w:p>
      <w:pPr>
        <w:jc w:val="center"/>
      </w:pPr>
      <w:r>
        <w:drawing>
          <wp:inline xmlns:a="http://schemas.openxmlformats.org/drawingml/2006/main" xmlns:pic="http://schemas.openxmlformats.org/drawingml/2006/picture">
            <wp:extent cx="2160000" cy="2042222"/>
            <wp:docPr id="4" name="Picture 4"/>
            <wp:cNvGraphicFramePr>
              <a:graphicFrameLocks noChangeAspect="1"/>
            </wp:cNvGraphicFramePr>
            <a:graphic>
              <a:graphicData uri="http://schemas.openxmlformats.org/drawingml/2006/picture">
                <pic:pic>
                  <pic:nvPicPr>
                    <pic:cNvPr id="0" name="fig4_m2_n_vs_temp.png"/>
                    <pic:cNvPicPr/>
                  </pic:nvPicPr>
                  <pic:blipFill>
                    <a:blip r:embed="rId12"/>
                    <a:stretch>
                      <a:fillRect/>
                    </a:stretch>
                  </pic:blipFill>
                  <pic:spPr>
                    <a:xfrm>
                      <a:off x="0" y="0"/>
                      <a:ext cx="2160000" cy="2042222"/>
                    </a:xfrm>
                    <a:prstGeom prst="rect"/>
                  </pic:spPr>
                </pic:pic>
              </a:graphicData>
            </a:graphic>
          </wp:inline>
        </w:drawing>
      </w:r>
    </w:p>
    <w:p>
      <w:pPr>
        <w:jc w:val="center"/>
      </w:pPr>
      <w:r>
        <w:rPr>
          <w:i/>
          <w:sz w:val="16"/>
        </w:rPr>
        <w:t>Fig. 3. 온도별 굴절률 변화 (Method 2, 0.5/1.0/1.5 THz).</w:t>
      </w:r>
    </w:p>
    <w:p>
      <w:r>
        <w:t>Fig. 3에 특정 주파수(0.5, 1.0, 1.5 THz)에서의 온도 의존성을 나타내었다. 세 주파수 모두 거의 동일한 선형 감소 추세를 보이며, 주파수 의존성은 미미하다.</w:t>
      </w:r>
    </w:p>
    <w:p/>
    <w:p>
      <w:pPr>
        <w:jc w:val="center"/>
      </w:pPr>
      <w:r>
        <w:rPr>
          <w:b/>
          <w:sz w:val="16"/>
        </w:rPr>
        <w:t>Table 1. Method 2 결과 요약 (1.0 THz 기준, 5회 평균 ± 표준편차)</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pPr>
              <w:jc w:val="center"/>
            </w:pPr>
            <w:r>
              <w:rPr>
                <w:b/>
                <w:sz w:val="16"/>
              </w:rPr>
              <w:t>온도 (°C)</w:t>
            </w:r>
          </w:p>
        </w:tc>
        <w:tc>
          <w:tcPr>
            <w:tcW w:type="dxa" w:w="1881"/>
          </w:tcPr>
          <w:p>
            <w:pPr>
              <w:jc w:val="center"/>
            </w:pPr>
            <w:r>
              <w:rPr>
                <w:b/>
                <w:sz w:val="16"/>
              </w:rPr>
              <w:t>n</w:t>
            </w:r>
          </w:p>
        </w:tc>
        <w:tc>
          <w:tcPr>
            <w:tcW w:type="dxa" w:w="1881"/>
          </w:tcPr>
          <w:p>
            <w:pPr>
              <w:jc w:val="center"/>
            </w:pPr>
            <w:r>
              <w:rPr>
                <w:b/>
                <w:sz w:val="16"/>
              </w:rPr>
              <w:t>σ(n)</w:t>
            </w:r>
          </w:p>
        </w:tc>
        <w:tc>
          <w:tcPr>
            <w:tcW w:type="dxa" w:w="1881"/>
          </w:tcPr>
          <w:p>
            <w:pPr>
              <w:jc w:val="center"/>
            </w:pPr>
            <w:r>
              <w:rPr>
                <w:b/>
                <w:sz w:val="16"/>
              </w:rPr>
              <w:t>α (cm⁻¹)</w:t>
            </w:r>
          </w:p>
        </w:tc>
        <w:tc>
          <w:tcPr>
            <w:tcW w:type="dxa" w:w="1881"/>
          </w:tcPr>
          <w:p>
            <w:pPr>
              <w:jc w:val="center"/>
            </w:pPr>
            <w:r>
              <w:rPr>
                <w:b/>
                <w:sz w:val="16"/>
              </w:rPr>
              <w:t>σ(α)</w:t>
            </w:r>
          </w:p>
        </w:tc>
      </w:tr>
      <w:tr>
        <w:tc>
          <w:tcPr>
            <w:tcW w:type="dxa" w:w="1881"/>
          </w:tcPr>
          <w:p>
            <w:pPr>
              <w:jc w:val="center"/>
            </w:pPr>
            <w:r>
              <w:rPr>
                <w:sz w:val="16"/>
              </w:rPr>
              <w:t>20</w:t>
            </w:r>
          </w:p>
        </w:tc>
        <w:tc>
          <w:tcPr>
            <w:tcW w:type="dxa" w:w="1881"/>
          </w:tcPr>
          <w:p>
            <w:pPr>
              <w:jc w:val="center"/>
            </w:pPr>
            <w:r>
              <w:rPr>
                <w:sz w:val="16"/>
              </w:rPr>
              <w:t>1.237</w:t>
            </w:r>
          </w:p>
        </w:tc>
        <w:tc>
          <w:tcPr>
            <w:tcW w:type="dxa" w:w="1881"/>
          </w:tcPr>
          <w:p>
            <w:pPr>
              <w:jc w:val="center"/>
            </w:pPr>
            <w:r>
              <w:rPr>
                <w:sz w:val="16"/>
              </w:rPr>
              <w:t>0.023</w:t>
            </w:r>
          </w:p>
        </w:tc>
        <w:tc>
          <w:tcPr>
            <w:tcW w:type="dxa" w:w="1881"/>
          </w:tcPr>
          <w:p>
            <w:pPr>
              <w:jc w:val="center"/>
            </w:pPr>
            <w:r>
              <w:rPr>
                <w:sz w:val="16"/>
              </w:rPr>
              <w:t>-0.4</w:t>
            </w:r>
          </w:p>
        </w:tc>
        <w:tc>
          <w:tcPr>
            <w:tcW w:type="dxa" w:w="1881"/>
          </w:tcPr>
          <w:p>
            <w:pPr>
              <w:jc w:val="center"/>
            </w:pPr>
            <w:r>
              <w:rPr>
                <w:sz w:val="16"/>
              </w:rPr>
              <w:t>3.1</w:t>
            </w:r>
          </w:p>
        </w:tc>
      </w:tr>
      <w:tr>
        <w:tc>
          <w:tcPr>
            <w:tcW w:type="dxa" w:w="1881"/>
          </w:tcPr>
          <w:p>
            <w:pPr>
              <w:jc w:val="center"/>
            </w:pPr>
            <w:r>
              <w:rPr>
                <w:sz w:val="16"/>
              </w:rPr>
              <w:t>30</w:t>
            </w:r>
          </w:p>
        </w:tc>
        <w:tc>
          <w:tcPr>
            <w:tcW w:type="dxa" w:w="1881"/>
          </w:tcPr>
          <w:p>
            <w:pPr>
              <w:jc w:val="center"/>
            </w:pPr>
            <w:r>
              <w:rPr>
                <w:sz w:val="16"/>
              </w:rPr>
              <w:t>1.033</w:t>
            </w:r>
          </w:p>
        </w:tc>
        <w:tc>
          <w:tcPr>
            <w:tcW w:type="dxa" w:w="1881"/>
          </w:tcPr>
          <w:p>
            <w:pPr>
              <w:jc w:val="center"/>
            </w:pPr>
            <w:r>
              <w:rPr>
                <w:sz w:val="16"/>
              </w:rPr>
              <w:t>0.033</w:t>
            </w:r>
          </w:p>
        </w:tc>
        <w:tc>
          <w:tcPr>
            <w:tcW w:type="dxa" w:w="1881"/>
          </w:tcPr>
          <w:p>
            <w:pPr>
              <w:jc w:val="center"/>
            </w:pPr>
            <w:r>
              <w:rPr>
                <w:sz w:val="16"/>
              </w:rPr>
              <w:t>-7.8</w:t>
            </w:r>
          </w:p>
        </w:tc>
        <w:tc>
          <w:tcPr>
            <w:tcW w:type="dxa" w:w="1881"/>
          </w:tcPr>
          <w:p>
            <w:pPr>
              <w:jc w:val="center"/>
            </w:pPr>
            <w:r>
              <w:rPr>
                <w:sz w:val="16"/>
              </w:rPr>
              <w:t>2.4</w:t>
            </w:r>
          </w:p>
        </w:tc>
      </w:tr>
      <w:tr>
        <w:tc>
          <w:tcPr>
            <w:tcW w:type="dxa" w:w="1881"/>
          </w:tcPr>
          <w:p>
            <w:pPr>
              <w:jc w:val="center"/>
            </w:pPr>
            <w:r>
              <w:rPr>
                <w:sz w:val="16"/>
              </w:rPr>
              <w:t>40</w:t>
            </w:r>
          </w:p>
        </w:tc>
        <w:tc>
          <w:tcPr>
            <w:tcW w:type="dxa" w:w="1881"/>
          </w:tcPr>
          <w:p>
            <w:pPr>
              <w:jc w:val="center"/>
            </w:pPr>
            <w:r>
              <w:rPr>
                <w:sz w:val="16"/>
              </w:rPr>
              <w:t>0.952</w:t>
            </w:r>
          </w:p>
        </w:tc>
        <w:tc>
          <w:tcPr>
            <w:tcW w:type="dxa" w:w="1881"/>
          </w:tcPr>
          <w:p>
            <w:pPr>
              <w:jc w:val="center"/>
            </w:pPr>
            <w:r>
              <w:rPr>
                <w:sz w:val="16"/>
              </w:rPr>
              <w:t>0.012</w:t>
            </w:r>
          </w:p>
        </w:tc>
        <w:tc>
          <w:tcPr>
            <w:tcW w:type="dxa" w:w="1881"/>
          </w:tcPr>
          <w:p>
            <w:pPr>
              <w:jc w:val="center"/>
            </w:pPr>
            <w:r>
              <w:rPr>
                <w:sz w:val="16"/>
              </w:rPr>
              <w:t>-12.5</w:t>
            </w:r>
          </w:p>
        </w:tc>
        <w:tc>
          <w:tcPr>
            <w:tcW w:type="dxa" w:w="1881"/>
          </w:tcPr>
          <w:p>
            <w:pPr>
              <w:jc w:val="center"/>
            </w:pPr>
            <w:r>
              <w:rPr>
                <w:sz w:val="16"/>
              </w:rPr>
              <w:t>1.7</w:t>
            </w:r>
          </w:p>
        </w:tc>
      </w:tr>
      <w:tr>
        <w:tc>
          <w:tcPr>
            <w:tcW w:type="dxa" w:w="1881"/>
          </w:tcPr>
          <w:p>
            <w:pPr>
              <w:jc w:val="center"/>
            </w:pPr>
            <w:r>
              <w:rPr>
                <w:sz w:val="16"/>
              </w:rPr>
              <w:t>50</w:t>
            </w:r>
          </w:p>
        </w:tc>
        <w:tc>
          <w:tcPr>
            <w:tcW w:type="dxa" w:w="1881"/>
          </w:tcPr>
          <w:p>
            <w:pPr>
              <w:jc w:val="center"/>
            </w:pPr>
            <w:r>
              <w:rPr>
                <w:sz w:val="16"/>
              </w:rPr>
              <w:t>0.818</w:t>
            </w:r>
          </w:p>
        </w:tc>
        <w:tc>
          <w:tcPr>
            <w:tcW w:type="dxa" w:w="1881"/>
          </w:tcPr>
          <w:p>
            <w:pPr>
              <w:jc w:val="center"/>
            </w:pPr>
            <w:r>
              <w:rPr>
                <w:sz w:val="16"/>
              </w:rPr>
              <w:t>0.070</w:t>
            </w:r>
          </w:p>
        </w:tc>
        <w:tc>
          <w:tcPr>
            <w:tcW w:type="dxa" w:w="1881"/>
          </w:tcPr>
          <w:p>
            <w:pPr>
              <w:jc w:val="center"/>
            </w:pPr>
            <w:r>
              <w:rPr>
                <w:sz w:val="16"/>
              </w:rPr>
              <w:t>-14.3</w:t>
            </w:r>
          </w:p>
        </w:tc>
        <w:tc>
          <w:tcPr>
            <w:tcW w:type="dxa" w:w="1881"/>
          </w:tcPr>
          <w:p>
            <w:pPr>
              <w:jc w:val="center"/>
            </w:pPr>
            <w:r>
              <w:rPr>
                <w:sz w:val="16"/>
              </w:rPr>
              <w:t>2.9</w:t>
            </w:r>
          </w:p>
        </w:tc>
      </w:tr>
      <w:tr>
        <w:tc>
          <w:tcPr>
            <w:tcW w:type="dxa" w:w="1881"/>
          </w:tcPr>
          <w:p>
            <w:pPr>
              <w:jc w:val="center"/>
            </w:pPr>
            <w:r>
              <w:rPr>
                <w:sz w:val="16"/>
              </w:rPr>
              <w:t>60</w:t>
            </w:r>
          </w:p>
        </w:tc>
        <w:tc>
          <w:tcPr>
            <w:tcW w:type="dxa" w:w="1881"/>
          </w:tcPr>
          <w:p>
            <w:pPr>
              <w:jc w:val="center"/>
            </w:pPr>
            <w:r>
              <w:rPr>
                <w:sz w:val="16"/>
              </w:rPr>
              <w:t>0.643</w:t>
            </w:r>
          </w:p>
        </w:tc>
        <w:tc>
          <w:tcPr>
            <w:tcW w:type="dxa" w:w="1881"/>
          </w:tcPr>
          <w:p>
            <w:pPr>
              <w:jc w:val="center"/>
            </w:pPr>
            <w:r>
              <w:rPr>
                <w:sz w:val="16"/>
              </w:rPr>
              <w:t>0.040</w:t>
            </w:r>
          </w:p>
        </w:tc>
        <w:tc>
          <w:tcPr>
            <w:tcW w:type="dxa" w:w="1881"/>
          </w:tcPr>
          <w:p>
            <w:pPr>
              <w:jc w:val="center"/>
            </w:pPr>
            <w:r>
              <w:rPr>
                <w:sz w:val="16"/>
              </w:rPr>
              <w:t>-21.8</w:t>
            </w:r>
          </w:p>
        </w:tc>
        <w:tc>
          <w:tcPr>
            <w:tcW w:type="dxa" w:w="1881"/>
          </w:tcPr>
          <w:p>
            <w:pPr>
              <w:jc w:val="center"/>
            </w:pPr>
            <w:r>
              <w:rPr>
                <w:sz w:val="16"/>
              </w:rPr>
              <w:t>1.6</w:t>
            </w:r>
          </w:p>
        </w:tc>
      </w:tr>
      <w:tr>
        <w:tc>
          <w:tcPr>
            <w:tcW w:type="dxa" w:w="1881"/>
          </w:tcPr>
          <w:p>
            <w:pPr>
              <w:jc w:val="center"/>
            </w:pPr>
            <w:r>
              <w:rPr>
                <w:sz w:val="16"/>
              </w:rPr>
              <w:t>70</w:t>
            </w:r>
          </w:p>
        </w:tc>
        <w:tc>
          <w:tcPr>
            <w:tcW w:type="dxa" w:w="1881"/>
          </w:tcPr>
          <w:p>
            <w:pPr>
              <w:jc w:val="center"/>
            </w:pPr>
            <w:r>
              <w:rPr>
                <w:sz w:val="16"/>
              </w:rPr>
              <w:t>0.452</w:t>
            </w:r>
          </w:p>
        </w:tc>
        <w:tc>
          <w:tcPr>
            <w:tcW w:type="dxa" w:w="1881"/>
          </w:tcPr>
          <w:p>
            <w:pPr>
              <w:jc w:val="center"/>
            </w:pPr>
            <w:r>
              <w:rPr>
                <w:sz w:val="16"/>
              </w:rPr>
              <w:t>0.075</w:t>
            </w:r>
          </w:p>
        </w:tc>
        <w:tc>
          <w:tcPr>
            <w:tcW w:type="dxa" w:w="1881"/>
          </w:tcPr>
          <w:p>
            <w:pPr>
              <w:jc w:val="center"/>
            </w:pPr>
            <w:r>
              <w:rPr>
                <w:sz w:val="16"/>
              </w:rPr>
              <w:t>-26.0</w:t>
            </w:r>
          </w:p>
        </w:tc>
        <w:tc>
          <w:tcPr>
            <w:tcW w:type="dxa" w:w="1881"/>
          </w:tcPr>
          <w:p>
            <w:pPr>
              <w:jc w:val="center"/>
            </w:pPr>
            <w:r>
              <w:rPr>
                <w:sz w:val="16"/>
              </w:rPr>
              <w:t>1.4</w:t>
            </w:r>
          </w:p>
        </w:tc>
      </w:tr>
      <w:tr>
        <w:tc>
          <w:tcPr>
            <w:tcW w:type="dxa" w:w="1881"/>
          </w:tcPr>
          <w:p>
            <w:pPr>
              <w:jc w:val="center"/>
            </w:pPr>
            <w:r>
              <w:rPr>
                <w:sz w:val="16"/>
              </w:rPr>
              <w:t>80</w:t>
            </w:r>
          </w:p>
        </w:tc>
        <w:tc>
          <w:tcPr>
            <w:tcW w:type="dxa" w:w="1881"/>
          </w:tcPr>
          <w:p>
            <w:pPr>
              <w:jc w:val="center"/>
            </w:pPr>
            <w:r>
              <w:rPr>
                <w:sz w:val="16"/>
              </w:rPr>
              <w:t>0.230</w:t>
            </w:r>
          </w:p>
        </w:tc>
        <w:tc>
          <w:tcPr>
            <w:tcW w:type="dxa" w:w="1881"/>
          </w:tcPr>
          <w:p>
            <w:pPr>
              <w:jc w:val="center"/>
            </w:pPr>
            <w:r>
              <w:rPr>
                <w:sz w:val="16"/>
              </w:rPr>
              <w:t>0.030</w:t>
            </w:r>
          </w:p>
        </w:tc>
        <w:tc>
          <w:tcPr>
            <w:tcW w:type="dxa" w:w="1881"/>
          </w:tcPr>
          <w:p>
            <w:pPr>
              <w:jc w:val="center"/>
            </w:pPr>
            <w:r>
              <w:rPr>
                <w:sz w:val="16"/>
              </w:rPr>
              <w:t>-31.6</w:t>
            </w:r>
          </w:p>
        </w:tc>
        <w:tc>
          <w:tcPr>
            <w:tcW w:type="dxa" w:w="1881"/>
          </w:tcPr>
          <w:p>
            <w:pPr>
              <w:jc w:val="center"/>
            </w:pPr>
            <w:r>
              <w:rPr>
                <w:sz w:val="16"/>
              </w:rPr>
              <w:t>1.5</w:t>
            </w:r>
          </w:p>
        </w:tc>
      </w:tr>
      <w:tr>
        <w:tc>
          <w:tcPr>
            <w:tcW w:type="dxa" w:w="1881"/>
          </w:tcPr>
          <w:p>
            <w:pPr>
              <w:jc w:val="center"/>
            </w:pPr>
            <w:r>
              <w:rPr>
                <w:sz w:val="16"/>
              </w:rPr>
              <w:t>90</w:t>
            </w:r>
          </w:p>
        </w:tc>
        <w:tc>
          <w:tcPr>
            <w:tcW w:type="dxa" w:w="1881"/>
          </w:tcPr>
          <w:p>
            <w:pPr>
              <w:jc w:val="center"/>
            </w:pPr>
            <w:r>
              <w:rPr>
                <w:sz w:val="16"/>
              </w:rPr>
              <w:t>-0.032</w:t>
            </w:r>
          </w:p>
        </w:tc>
        <w:tc>
          <w:tcPr>
            <w:tcW w:type="dxa" w:w="1881"/>
          </w:tcPr>
          <w:p>
            <w:pPr>
              <w:jc w:val="center"/>
            </w:pPr>
            <w:r>
              <w:rPr>
                <w:sz w:val="16"/>
              </w:rPr>
              <w:t>0.041</w:t>
            </w:r>
          </w:p>
        </w:tc>
        <w:tc>
          <w:tcPr>
            <w:tcW w:type="dxa" w:w="1881"/>
          </w:tcPr>
          <w:p>
            <w:pPr>
              <w:jc w:val="center"/>
            </w:pPr>
            <w:r>
              <w:rPr>
                <w:sz w:val="16"/>
              </w:rPr>
              <w:t>-37.6</w:t>
            </w:r>
          </w:p>
        </w:tc>
        <w:tc>
          <w:tcPr>
            <w:tcW w:type="dxa" w:w="1881"/>
          </w:tcPr>
          <w:p>
            <w:pPr>
              <w:jc w:val="center"/>
            </w:pPr>
            <w:r>
              <w:rPr>
                <w:sz w:val="16"/>
              </w:rPr>
              <w:t>1.4</w:t>
            </w:r>
          </w:p>
        </w:tc>
      </w:tr>
      <w:tr>
        <w:tc>
          <w:tcPr>
            <w:tcW w:type="dxa" w:w="1881"/>
          </w:tcPr>
          <w:p>
            <w:pPr>
              <w:jc w:val="center"/>
            </w:pPr>
            <w:r>
              <w:rPr>
                <w:sz w:val="16"/>
              </w:rPr>
              <w:t>100</w:t>
            </w:r>
          </w:p>
        </w:tc>
        <w:tc>
          <w:tcPr>
            <w:tcW w:type="dxa" w:w="1881"/>
          </w:tcPr>
          <w:p>
            <w:pPr>
              <w:jc w:val="center"/>
            </w:pPr>
            <w:r>
              <w:rPr>
                <w:sz w:val="16"/>
              </w:rPr>
              <w:t>-0.270</w:t>
            </w:r>
          </w:p>
        </w:tc>
        <w:tc>
          <w:tcPr>
            <w:tcW w:type="dxa" w:w="1881"/>
          </w:tcPr>
          <w:p>
            <w:pPr>
              <w:jc w:val="center"/>
            </w:pPr>
            <w:r>
              <w:rPr>
                <w:sz w:val="16"/>
              </w:rPr>
              <w:t>0.032</w:t>
            </w:r>
          </w:p>
        </w:tc>
        <w:tc>
          <w:tcPr>
            <w:tcW w:type="dxa" w:w="1881"/>
          </w:tcPr>
          <w:p>
            <w:pPr>
              <w:jc w:val="center"/>
            </w:pPr>
            <w:r>
              <w:rPr>
                <w:sz w:val="16"/>
              </w:rPr>
              <w:t>-39.6</w:t>
            </w:r>
          </w:p>
        </w:tc>
        <w:tc>
          <w:tcPr>
            <w:tcW w:type="dxa" w:w="1881"/>
          </w:tcPr>
          <w:p>
            <w:pPr>
              <w:jc w:val="center"/>
            </w:pPr>
            <w:r>
              <w:rPr>
                <w:sz w:val="16"/>
              </w:rPr>
              <w:t>0.8</w:t>
            </w:r>
          </w:p>
        </w:tc>
      </w:tr>
      <w:tr>
        <w:tc>
          <w:tcPr>
            <w:tcW w:type="dxa" w:w="1881"/>
          </w:tcPr>
          <w:p>
            <w:pPr>
              <w:jc w:val="center"/>
            </w:pPr>
            <w:r>
              <w:rPr>
                <w:sz w:val="16"/>
              </w:rPr>
              <w:t>110</w:t>
            </w:r>
          </w:p>
        </w:tc>
        <w:tc>
          <w:tcPr>
            <w:tcW w:type="dxa" w:w="1881"/>
          </w:tcPr>
          <w:p>
            <w:pPr>
              <w:jc w:val="center"/>
            </w:pPr>
            <w:r>
              <w:rPr>
                <w:sz w:val="16"/>
              </w:rPr>
              <w:t>-0.493</w:t>
            </w:r>
          </w:p>
        </w:tc>
        <w:tc>
          <w:tcPr>
            <w:tcW w:type="dxa" w:w="1881"/>
          </w:tcPr>
          <w:p>
            <w:pPr>
              <w:jc w:val="center"/>
            </w:pPr>
            <w:r>
              <w:rPr>
                <w:sz w:val="16"/>
              </w:rPr>
              <w:t>0.032</w:t>
            </w:r>
          </w:p>
        </w:tc>
        <w:tc>
          <w:tcPr>
            <w:tcW w:type="dxa" w:w="1881"/>
          </w:tcPr>
          <w:p>
            <w:pPr>
              <w:jc w:val="center"/>
            </w:pPr>
            <w:r>
              <w:rPr>
                <w:sz w:val="16"/>
              </w:rPr>
              <w:t>-44.8</w:t>
            </w:r>
          </w:p>
        </w:tc>
        <w:tc>
          <w:tcPr>
            <w:tcW w:type="dxa" w:w="1881"/>
          </w:tcPr>
          <w:p>
            <w:pPr>
              <w:jc w:val="center"/>
            </w:pPr>
            <w:r>
              <w:rPr>
                <w:sz w:val="16"/>
              </w:rPr>
              <w:t>0.6</w:t>
            </w:r>
          </w:p>
        </w:tc>
      </w:tr>
    </w:tbl>
    <w:p>
      <w:pPr>
        <w:pStyle w:val="Heading2"/>
      </w:pPr>
      <w:r>
        <w:t>3.3 차등 분석 결과 (Method 3)</w:t>
      </w:r>
    </w:p>
    <w:tbl>
      <w:tblPr>
        <w:tblW w:type="auto" w:w="0"/>
        <w:jc w:val="center"/>
        <w:tblLook w:firstColumn="1" w:firstRow="1" w:lastColumn="0" w:lastRow="0" w:noHBand="0" w:noVBand="1" w:val="04A0"/>
      </w:tblPr>
      <w:tblGrid>
        <w:gridCol w:w="4703"/>
        <w:gridCol w:w="4703"/>
      </w:tblGrid>
      <w:tr>
        <w:tc>
          <w:tcPr>
            <w:tcW w:type="dxa" w:w="3969"/>
            <w:tcBorders>
              <w:top w:val="none" w:sz="0"/>
              <w:left w:val="none" w:sz="0"/>
              <w:bottom w:val="none" w:sz="0"/>
              <w:right w:val="none" w:sz="0"/>
            </w:tcBorders>
          </w:tcPr>
          <w:p>
            <w:pPr>
              <w:jc w:val="center"/>
            </w:pPr>
            <w:r>
              <w:drawing>
                <wp:inline xmlns:a="http://schemas.openxmlformats.org/drawingml/2006/main" xmlns:pic="http://schemas.openxmlformats.org/drawingml/2006/picture">
                  <wp:extent cx="1980000" cy="1699531"/>
                  <wp:docPr id="5" name="Picture 5"/>
                  <wp:cNvGraphicFramePr>
                    <a:graphicFrameLocks noChangeAspect="1"/>
                  </wp:cNvGraphicFramePr>
                  <a:graphic>
                    <a:graphicData uri="http://schemas.openxmlformats.org/drawingml/2006/picture">
                      <pic:pic>
                        <pic:nvPicPr>
                          <pic:cNvPr id="0" name="fig2_m3_delta_n.png"/>
                          <pic:cNvPicPr/>
                        </pic:nvPicPr>
                        <pic:blipFill>
                          <a:blip r:embed="rId13"/>
                          <a:stretch>
                            <a:fillRect/>
                          </a:stretch>
                        </pic:blipFill>
                        <pic:spPr>
                          <a:xfrm>
                            <a:off x="0" y="0"/>
                            <a:ext cx="1980000" cy="1699531"/>
                          </a:xfrm>
                          <a:prstGeom prst="rect"/>
                        </pic:spPr>
                      </pic:pic>
                    </a:graphicData>
                  </a:graphic>
                </wp:inline>
              </w:drawing>
            </w:r>
          </w:p>
        </w:tc>
        <w:tc>
          <w:tcPr>
            <w:tcW w:type="dxa" w:w="3969"/>
            <w:tcBorders>
              <w:top w:val="none" w:sz="0"/>
              <w:left w:val="none" w:sz="0"/>
              <w:bottom w:val="none" w:sz="0"/>
              <w:right w:val="none" w:sz="0"/>
            </w:tcBorders>
          </w:tcPr>
          <w:p>
            <w:pPr>
              <w:jc w:val="center"/>
            </w:pPr>
            <w:r>
              <w:drawing>
                <wp:inline xmlns:a="http://schemas.openxmlformats.org/drawingml/2006/main" xmlns:pic="http://schemas.openxmlformats.org/drawingml/2006/picture">
                  <wp:extent cx="1980000" cy="1675948"/>
                  <wp:docPr id="6" name="Picture 6"/>
                  <wp:cNvGraphicFramePr>
                    <a:graphicFrameLocks noChangeAspect="1"/>
                  </wp:cNvGraphicFramePr>
                  <a:graphic>
                    <a:graphicData uri="http://schemas.openxmlformats.org/drawingml/2006/picture">
                      <pic:pic>
                        <pic:nvPicPr>
                          <pic:cNvPr id="0" name="fig3_m3_delta_alpha.png"/>
                          <pic:cNvPicPr/>
                        </pic:nvPicPr>
                        <pic:blipFill>
                          <a:blip r:embed="rId14"/>
                          <a:stretch>
                            <a:fillRect/>
                          </a:stretch>
                        </pic:blipFill>
                        <pic:spPr>
                          <a:xfrm>
                            <a:off x="0" y="0"/>
                            <a:ext cx="1980000" cy="1675948"/>
                          </a:xfrm>
                          <a:prstGeom prst="rect"/>
                        </pic:spPr>
                      </pic:pic>
                    </a:graphicData>
                  </a:graphic>
                </wp:inline>
              </w:drawing>
            </w:r>
          </w:p>
        </w:tc>
      </w:tr>
      <w:tr>
        <w:tc>
          <w:tcPr>
            <w:tcW w:type="dxa" w:w="3969"/>
            <w:tcBorders>
              <w:top w:val="none" w:sz="0"/>
              <w:left w:val="none" w:sz="0"/>
              <w:bottom w:val="none" w:sz="0"/>
              <w:right w:val="none" w:sz="0"/>
            </w:tcBorders>
          </w:tcPr>
          <w:p>
            <w:pPr>
              <w:jc w:val="center"/>
            </w:pPr>
            <w:r>
              <w:rPr>
                <w:i/>
                <w:sz w:val="16"/>
              </w:rPr>
              <w:t>Fig. 4(a). Δn(f) 스펙트럼 (20°C 대비)</w:t>
            </w:r>
          </w:p>
        </w:tc>
        <w:tc>
          <w:tcPr>
            <w:tcW w:type="dxa" w:w="3969"/>
            <w:tcBorders>
              <w:top w:val="none" w:sz="0"/>
              <w:left w:val="none" w:sz="0"/>
              <w:bottom w:val="none" w:sz="0"/>
              <w:right w:val="none" w:sz="0"/>
            </w:tcBorders>
          </w:tcPr>
          <w:p>
            <w:pPr>
              <w:jc w:val="center"/>
            </w:pPr>
            <w:r>
              <w:rPr>
                <w:i/>
                <w:sz w:val="16"/>
              </w:rPr>
              <w:t>Fig. 4(b). Δα(f) 스펙트럼 (20°C 대비)</w:t>
            </w:r>
          </w:p>
        </w:tc>
      </w:tr>
    </w:tbl>
    <w:p>
      <w:r>
        <w:t>Fig. 4에 Method 3으로 추출한 상대적 굴절률 변화(Δn)와 흡수계수 변화(Δα)를 나타내었다. 20°C 시료를 기준으로 한 차등 분석이므로 20°C에서 Δn = 0이며, 온도 증가에 따라 단조 감소한다. 스펙트럼은 주파수에 대해 비교적 평탄하며, Method 2보다 노이즈가 적은 경향을 보인다.</w:t>
      </w:r>
    </w:p>
    <w:p>
      <w:pPr>
        <w:jc w:val="center"/>
      </w:pPr>
      <w:r>
        <w:drawing>
          <wp:inline xmlns:a="http://schemas.openxmlformats.org/drawingml/2006/main" xmlns:pic="http://schemas.openxmlformats.org/drawingml/2006/picture">
            <wp:extent cx="2160000" cy="2033852"/>
            <wp:docPr id="7" name="Picture 7"/>
            <wp:cNvGraphicFramePr>
              <a:graphicFrameLocks noChangeAspect="1"/>
            </wp:cNvGraphicFramePr>
            <a:graphic>
              <a:graphicData uri="http://schemas.openxmlformats.org/drawingml/2006/picture">
                <pic:pic>
                  <pic:nvPicPr>
                    <pic:cNvPr id="0" name="fig4_m3_delta_n_vs_temp.png"/>
                    <pic:cNvPicPr/>
                  </pic:nvPicPr>
                  <pic:blipFill>
                    <a:blip r:embed="rId15"/>
                    <a:stretch>
                      <a:fillRect/>
                    </a:stretch>
                  </pic:blipFill>
                  <pic:spPr>
                    <a:xfrm>
                      <a:off x="0" y="0"/>
                      <a:ext cx="2160000" cy="2033852"/>
                    </a:xfrm>
                    <a:prstGeom prst="rect"/>
                  </pic:spPr>
                </pic:pic>
              </a:graphicData>
            </a:graphic>
          </wp:inline>
        </w:drawing>
      </w:r>
    </w:p>
    <w:p>
      <w:pPr>
        <w:jc w:val="center"/>
      </w:pPr>
      <w:r>
        <w:rPr>
          <w:i/>
          <w:sz w:val="16"/>
        </w:rPr>
        <w:t>Fig. 5. Δn vs. 온도 (Method 3, 0.5/1.0/1.5 THz).</w:t>
      </w:r>
    </w:p>
    <w:p/>
    <w:p>
      <w:pPr>
        <w:jc w:val="center"/>
      </w:pPr>
      <w:r>
        <w:rPr>
          <w:b/>
          <w:sz w:val="16"/>
        </w:rPr>
        <w:t>Table 2. Method 3 결과 요약 (1.0 THz 기준, 20°C 대비 변화량)</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pPr>
              <w:jc w:val="center"/>
            </w:pPr>
            <w:r>
              <w:rPr>
                <w:b/>
                <w:sz w:val="16"/>
              </w:rPr>
              <w:t>온도 (°C)</w:t>
            </w:r>
          </w:p>
        </w:tc>
        <w:tc>
          <w:tcPr>
            <w:tcW w:type="dxa" w:w="1881"/>
          </w:tcPr>
          <w:p>
            <w:pPr>
              <w:jc w:val="center"/>
            </w:pPr>
            <w:r>
              <w:rPr>
                <w:b/>
                <w:sz w:val="16"/>
              </w:rPr>
              <w:t>Δn</w:t>
            </w:r>
          </w:p>
        </w:tc>
        <w:tc>
          <w:tcPr>
            <w:tcW w:type="dxa" w:w="1881"/>
          </w:tcPr>
          <w:p>
            <w:pPr>
              <w:jc w:val="center"/>
            </w:pPr>
            <w:r>
              <w:rPr>
                <w:b/>
                <w:sz w:val="16"/>
              </w:rPr>
              <w:t>σ(Δn)</w:t>
            </w:r>
          </w:p>
        </w:tc>
        <w:tc>
          <w:tcPr>
            <w:tcW w:type="dxa" w:w="1881"/>
          </w:tcPr>
          <w:p>
            <w:pPr>
              <w:jc w:val="center"/>
            </w:pPr>
            <w:r>
              <w:rPr>
                <w:b/>
                <w:sz w:val="16"/>
              </w:rPr>
              <w:t>Δα (cm⁻¹)</w:t>
            </w:r>
          </w:p>
        </w:tc>
        <w:tc>
          <w:tcPr>
            <w:tcW w:type="dxa" w:w="1881"/>
          </w:tcPr>
          <w:p>
            <w:pPr>
              <w:jc w:val="center"/>
            </w:pPr>
            <w:r>
              <w:rPr>
                <w:b/>
                <w:sz w:val="16"/>
              </w:rPr>
              <w:t>σ(Δα)</w:t>
            </w:r>
          </w:p>
        </w:tc>
      </w:tr>
      <w:tr>
        <w:tc>
          <w:tcPr>
            <w:tcW w:type="dxa" w:w="1881"/>
          </w:tcPr>
          <w:p>
            <w:pPr>
              <w:jc w:val="center"/>
            </w:pPr>
            <w:r>
              <w:rPr>
                <w:sz w:val="16"/>
              </w:rPr>
              <w:t>20</w:t>
            </w:r>
          </w:p>
        </w:tc>
        <w:tc>
          <w:tcPr>
            <w:tcW w:type="dxa" w:w="1881"/>
          </w:tcPr>
          <w:p>
            <w:pPr>
              <w:jc w:val="center"/>
            </w:pPr>
            <w:r>
              <w:rPr>
                <w:sz w:val="16"/>
              </w:rPr>
              <w:t>0.000</w:t>
            </w:r>
          </w:p>
        </w:tc>
        <w:tc>
          <w:tcPr>
            <w:tcW w:type="dxa" w:w="1881"/>
          </w:tcPr>
          <w:p>
            <w:pPr>
              <w:jc w:val="center"/>
            </w:pPr>
            <w:r>
              <w:rPr>
                <w:sz w:val="16"/>
              </w:rPr>
              <w:t>0.023</w:t>
            </w:r>
          </w:p>
        </w:tc>
        <w:tc>
          <w:tcPr>
            <w:tcW w:type="dxa" w:w="1881"/>
          </w:tcPr>
          <w:p>
            <w:pPr>
              <w:jc w:val="center"/>
            </w:pPr>
            <w:r>
              <w:rPr>
                <w:sz w:val="16"/>
              </w:rPr>
              <w:t>-0.0</w:t>
            </w:r>
          </w:p>
        </w:tc>
        <w:tc>
          <w:tcPr>
            <w:tcW w:type="dxa" w:w="1881"/>
          </w:tcPr>
          <w:p>
            <w:pPr>
              <w:jc w:val="center"/>
            </w:pPr>
            <w:r>
              <w:rPr>
                <w:sz w:val="16"/>
              </w:rPr>
              <w:t>3.1</w:t>
            </w:r>
          </w:p>
        </w:tc>
      </w:tr>
      <w:tr>
        <w:tc>
          <w:tcPr>
            <w:tcW w:type="dxa" w:w="1881"/>
          </w:tcPr>
          <w:p>
            <w:pPr>
              <w:jc w:val="center"/>
            </w:pPr>
            <w:r>
              <w:rPr>
                <w:sz w:val="16"/>
              </w:rPr>
              <w:t>30</w:t>
            </w:r>
          </w:p>
        </w:tc>
        <w:tc>
          <w:tcPr>
            <w:tcW w:type="dxa" w:w="1881"/>
          </w:tcPr>
          <w:p>
            <w:pPr>
              <w:jc w:val="center"/>
            </w:pPr>
            <w:r>
              <w:rPr>
                <w:sz w:val="16"/>
              </w:rPr>
              <w:t>-0.204</w:t>
            </w:r>
          </w:p>
        </w:tc>
        <w:tc>
          <w:tcPr>
            <w:tcW w:type="dxa" w:w="1881"/>
          </w:tcPr>
          <w:p>
            <w:pPr>
              <w:jc w:val="center"/>
            </w:pPr>
            <w:r>
              <w:rPr>
                <w:sz w:val="16"/>
              </w:rPr>
              <w:t>0.033</w:t>
            </w:r>
          </w:p>
        </w:tc>
        <w:tc>
          <w:tcPr>
            <w:tcW w:type="dxa" w:w="1881"/>
          </w:tcPr>
          <w:p>
            <w:pPr>
              <w:jc w:val="center"/>
            </w:pPr>
            <w:r>
              <w:rPr>
                <w:sz w:val="16"/>
              </w:rPr>
              <w:t>-7.4</w:t>
            </w:r>
          </w:p>
        </w:tc>
        <w:tc>
          <w:tcPr>
            <w:tcW w:type="dxa" w:w="1881"/>
          </w:tcPr>
          <w:p>
            <w:pPr>
              <w:jc w:val="center"/>
            </w:pPr>
            <w:r>
              <w:rPr>
                <w:sz w:val="16"/>
              </w:rPr>
              <w:t>2.4</w:t>
            </w:r>
          </w:p>
        </w:tc>
      </w:tr>
      <w:tr>
        <w:tc>
          <w:tcPr>
            <w:tcW w:type="dxa" w:w="1881"/>
          </w:tcPr>
          <w:p>
            <w:pPr>
              <w:jc w:val="center"/>
            </w:pPr>
            <w:r>
              <w:rPr>
                <w:sz w:val="16"/>
              </w:rPr>
              <w:t>40</w:t>
            </w:r>
          </w:p>
        </w:tc>
        <w:tc>
          <w:tcPr>
            <w:tcW w:type="dxa" w:w="1881"/>
          </w:tcPr>
          <w:p>
            <w:pPr>
              <w:jc w:val="center"/>
            </w:pPr>
            <w:r>
              <w:rPr>
                <w:sz w:val="16"/>
              </w:rPr>
              <w:t>-0.286</w:t>
            </w:r>
          </w:p>
        </w:tc>
        <w:tc>
          <w:tcPr>
            <w:tcW w:type="dxa" w:w="1881"/>
          </w:tcPr>
          <w:p>
            <w:pPr>
              <w:jc w:val="center"/>
            </w:pPr>
            <w:r>
              <w:rPr>
                <w:sz w:val="16"/>
              </w:rPr>
              <w:t>0.012</w:t>
            </w:r>
          </w:p>
        </w:tc>
        <w:tc>
          <w:tcPr>
            <w:tcW w:type="dxa" w:w="1881"/>
          </w:tcPr>
          <w:p>
            <w:pPr>
              <w:jc w:val="center"/>
            </w:pPr>
            <w:r>
              <w:rPr>
                <w:sz w:val="16"/>
              </w:rPr>
              <w:t>-12.1</w:t>
            </w:r>
          </w:p>
        </w:tc>
        <w:tc>
          <w:tcPr>
            <w:tcW w:type="dxa" w:w="1881"/>
          </w:tcPr>
          <w:p>
            <w:pPr>
              <w:jc w:val="center"/>
            </w:pPr>
            <w:r>
              <w:rPr>
                <w:sz w:val="16"/>
              </w:rPr>
              <w:t>1.7</w:t>
            </w:r>
          </w:p>
        </w:tc>
      </w:tr>
      <w:tr>
        <w:tc>
          <w:tcPr>
            <w:tcW w:type="dxa" w:w="1881"/>
          </w:tcPr>
          <w:p>
            <w:pPr>
              <w:jc w:val="center"/>
            </w:pPr>
            <w:r>
              <w:rPr>
                <w:sz w:val="16"/>
              </w:rPr>
              <w:t>50</w:t>
            </w:r>
          </w:p>
        </w:tc>
        <w:tc>
          <w:tcPr>
            <w:tcW w:type="dxa" w:w="1881"/>
          </w:tcPr>
          <w:p>
            <w:pPr>
              <w:jc w:val="center"/>
            </w:pPr>
            <w:r>
              <w:rPr>
                <w:sz w:val="16"/>
              </w:rPr>
              <w:t>-0.419</w:t>
            </w:r>
          </w:p>
        </w:tc>
        <w:tc>
          <w:tcPr>
            <w:tcW w:type="dxa" w:w="1881"/>
          </w:tcPr>
          <w:p>
            <w:pPr>
              <w:jc w:val="center"/>
            </w:pPr>
            <w:r>
              <w:rPr>
                <w:sz w:val="16"/>
              </w:rPr>
              <w:t>0.070</w:t>
            </w:r>
          </w:p>
        </w:tc>
        <w:tc>
          <w:tcPr>
            <w:tcW w:type="dxa" w:w="1881"/>
          </w:tcPr>
          <w:p>
            <w:pPr>
              <w:jc w:val="center"/>
            </w:pPr>
            <w:r>
              <w:rPr>
                <w:sz w:val="16"/>
              </w:rPr>
              <w:t>-14.0</w:t>
            </w:r>
          </w:p>
        </w:tc>
        <w:tc>
          <w:tcPr>
            <w:tcW w:type="dxa" w:w="1881"/>
          </w:tcPr>
          <w:p>
            <w:pPr>
              <w:jc w:val="center"/>
            </w:pPr>
            <w:r>
              <w:rPr>
                <w:sz w:val="16"/>
              </w:rPr>
              <w:t>2.9</w:t>
            </w:r>
          </w:p>
        </w:tc>
      </w:tr>
      <w:tr>
        <w:tc>
          <w:tcPr>
            <w:tcW w:type="dxa" w:w="1881"/>
          </w:tcPr>
          <w:p>
            <w:pPr>
              <w:jc w:val="center"/>
            </w:pPr>
            <w:r>
              <w:rPr>
                <w:sz w:val="16"/>
              </w:rPr>
              <w:t>60</w:t>
            </w:r>
          </w:p>
        </w:tc>
        <w:tc>
          <w:tcPr>
            <w:tcW w:type="dxa" w:w="1881"/>
          </w:tcPr>
          <w:p>
            <w:pPr>
              <w:jc w:val="center"/>
            </w:pPr>
            <w:r>
              <w:rPr>
                <w:sz w:val="16"/>
              </w:rPr>
              <w:t>-0.594</w:t>
            </w:r>
          </w:p>
        </w:tc>
        <w:tc>
          <w:tcPr>
            <w:tcW w:type="dxa" w:w="1881"/>
          </w:tcPr>
          <w:p>
            <w:pPr>
              <w:jc w:val="center"/>
            </w:pPr>
            <w:r>
              <w:rPr>
                <w:sz w:val="16"/>
              </w:rPr>
              <w:t>0.040</w:t>
            </w:r>
          </w:p>
        </w:tc>
        <w:tc>
          <w:tcPr>
            <w:tcW w:type="dxa" w:w="1881"/>
          </w:tcPr>
          <w:p>
            <w:pPr>
              <w:jc w:val="center"/>
            </w:pPr>
            <w:r>
              <w:rPr>
                <w:sz w:val="16"/>
              </w:rPr>
              <w:t>-21.4</w:t>
            </w:r>
          </w:p>
        </w:tc>
        <w:tc>
          <w:tcPr>
            <w:tcW w:type="dxa" w:w="1881"/>
          </w:tcPr>
          <w:p>
            <w:pPr>
              <w:jc w:val="center"/>
            </w:pPr>
            <w:r>
              <w:rPr>
                <w:sz w:val="16"/>
              </w:rPr>
              <w:t>1.6</w:t>
            </w:r>
          </w:p>
        </w:tc>
      </w:tr>
      <w:tr>
        <w:tc>
          <w:tcPr>
            <w:tcW w:type="dxa" w:w="1881"/>
          </w:tcPr>
          <w:p>
            <w:pPr>
              <w:jc w:val="center"/>
            </w:pPr>
            <w:r>
              <w:rPr>
                <w:sz w:val="16"/>
              </w:rPr>
              <w:t>70</w:t>
            </w:r>
          </w:p>
        </w:tc>
        <w:tc>
          <w:tcPr>
            <w:tcW w:type="dxa" w:w="1881"/>
          </w:tcPr>
          <w:p>
            <w:pPr>
              <w:jc w:val="center"/>
            </w:pPr>
            <w:r>
              <w:rPr>
                <w:sz w:val="16"/>
              </w:rPr>
              <w:t>-0.786</w:t>
            </w:r>
          </w:p>
        </w:tc>
        <w:tc>
          <w:tcPr>
            <w:tcW w:type="dxa" w:w="1881"/>
          </w:tcPr>
          <w:p>
            <w:pPr>
              <w:jc w:val="center"/>
            </w:pPr>
            <w:r>
              <w:rPr>
                <w:sz w:val="16"/>
              </w:rPr>
              <w:t>0.075</w:t>
            </w:r>
          </w:p>
        </w:tc>
        <w:tc>
          <w:tcPr>
            <w:tcW w:type="dxa" w:w="1881"/>
          </w:tcPr>
          <w:p>
            <w:pPr>
              <w:jc w:val="center"/>
            </w:pPr>
            <w:r>
              <w:rPr>
                <w:sz w:val="16"/>
              </w:rPr>
              <w:t>-25.6</w:t>
            </w:r>
          </w:p>
        </w:tc>
        <w:tc>
          <w:tcPr>
            <w:tcW w:type="dxa" w:w="1881"/>
          </w:tcPr>
          <w:p>
            <w:pPr>
              <w:jc w:val="center"/>
            </w:pPr>
            <w:r>
              <w:rPr>
                <w:sz w:val="16"/>
              </w:rPr>
              <w:t>1.4</w:t>
            </w:r>
          </w:p>
        </w:tc>
      </w:tr>
      <w:tr>
        <w:tc>
          <w:tcPr>
            <w:tcW w:type="dxa" w:w="1881"/>
          </w:tcPr>
          <w:p>
            <w:pPr>
              <w:jc w:val="center"/>
            </w:pPr>
            <w:r>
              <w:rPr>
                <w:sz w:val="16"/>
              </w:rPr>
              <w:t>80</w:t>
            </w:r>
          </w:p>
        </w:tc>
        <w:tc>
          <w:tcPr>
            <w:tcW w:type="dxa" w:w="1881"/>
          </w:tcPr>
          <w:p>
            <w:pPr>
              <w:jc w:val="center"/>
            </w:pPr>
            <w:r>
              <w:rPr>
                <w:sz w:val="16"/>
              </w:rPr>
              <w:t>-1.007</w:t>
            </w:r>
          </w:p>
        </w:tc>
        <w:tc>
          <w:tcPr>
            <w:tcW w:type="dxa" w:w="1881"/>
          </w:tcPr>
          <w:p>
            <w:pPr>
              <w:jc w:val="center"/>
            </w:pPr>
            <w:r>
              <w:rPr>
                <w:sz w:val="16"/>
              </w:rPr>
              <w:t>0.030</w:t>
            </w:r>
          </w:p>
        </w:tc>
        <w:tc>
          <w:tcPr>
            <w:tcW w:type="dxa" w:w="1881"/>
          </w:tcPr>
          <w:p>
            <w:pPr>
              <w:jc w:val="center"/>
            </w:pPr>
            <w:r>
              <w:rPr>
                <w:sz w:val="16"/>
              </w:rPr>
              <w:t>-31.2</w:t>
            </w:r>
          </w:p>
        </w:tc>
        <w:tc>
          <w:tcPr>
            <w:tcW w:type="dxa" w:w="1881"/>
          </w:tcPr>
          <w:p>
            <w:pPr>
              <w:jc w:val="center"/>
            </w:pPr>
            <w:r>
              <w:rPr>
                <w:sz w:val="16"/>
              </w:rPr>
              <w:t>1.5</w:t>
            </w:r>
          </w:p>
        </w:tc>
      </w:tr>
      <w:tr>
        <w:tc>
          <w:tcPr>
            <w:tcW w:type="dxa" w:w="1881"/>
          </w:tcPr>
          <w:p>
            <w:pPr>
              <w:jc w:val="center"/>
            </w:pPr>
            <w:r>
              <w:rPr>
                <w:sz w:val="16"/>
              </w:rPr>
              <w:t>90</w:t>
            </w:r>
          </w:p>
        </w:tc>
        <w:tc>
          <w:tcPr>
            <w:tcW w:type="dxa" w:w="1881"/>
          </w:tcPr>
          <w:p>
            <w:pPr>
              <w:jc w:val="center"/>
            </w:pPr>
            <w:r>
              <w:rPr>
                <w:sz w:val="16"/>
              </w:rPr>
              <w:t>-1.269</w:t>
            </w:r>
          </w:p>
        </w:tc>
        <w:tc>
          <w:tcPr>
            <w:tcW w:type="dxa" w:w="1881"/>
          </w:tcPr>
          <w:p>
            <w:pPr>
              <w:jc w:val="center"/>
            </w:pPr>
            <w:r>
              <w:rPr>
                <w:sz w:val="16"/>
              </w:rPr>
              <w:t>0.041</w:t>
            </w:r>
          </w:p>
        </w:tc>
        <w:tc>
          <w:tcPr>
            <w:tcW w:type="dxa" w:w="1881"/>
          </w:tcPr>
          <w:p>
            <w:pPr>
              <w:jc w:val="center"/>
            </w:pPr>
            <w:r>
              <w:rPr>
                <w:sz w:val="16"/>
              </w:rPr>
              <w:t>-37.2</w:t>
            </w:r>
          </w:p>
        </w:tc>
        <w:tc>
          <w:tcPr>
            <w:tcW w:type="dxa" w:w="1881"/>
          </w:tcPr>
          <w:p>
            <w:pPr>
              <w:jc w:val="center"/>
            </w:pPr>
            <w:r>
              <w:rPr>
                <w:sz w:val="16"/>
              </w:rPr>
              <w:t>1.4</w:t>
            </w:r>
          </w:p>
        </w:tc>
      </w:tr>
      <w:tr>
        <w:tc>
          <w:tcPr>
            <w:tcW w:type="dxa" w:w="1881"/>
          </w:tcPr>
          <w:p>
            <w:pPr>
              <w:jc w:val="center"/>
            </w:pPr>
            <w:r>
              <w:rPr>
                <w:sz w:val="16"/>
              </w:rPr>
              <w:t>100</w:t>
            </w:r>
          </w:p>
        </w:tc>
        <w:tc>
          <w:tcPr>
            <w:tcW w:type="dxa" w:w="1881"/>
          </w:tcPr>
          <w:p>
            <w:pPr>
              <w:jc w:val="center"/>
            </w:pPr>
            <w:r>
              <w:rPr>
                <w:sz w:val="16"/>
              </w:rPr>
              <w:t>-1.507</w:t>
            </w:r>
          </w:p>
        </w:tc>
        <w:tc>
          <w:tcPr>
            <w:tcW w:type="dxa" w:w="1881"/>
          </w:tcPr>
          <w:p>
            <w:pPr>
              <w:jc w:val="center"/>
            </w:pPr>
            <w:r>
              <w:rPr>
                <w:sz w:val="16"/>
              </w:rPr>
              <w:t>0.032</w:t>
            </w:r>
          </w:p>
        </w:tc>
        <w:tc>
          <w:tcPr>
            <w:tcW w:type="dxa" w:w="1881"/>
          </w:tcPr>
          <w:p>
            <w:pPr>
              <w:jc w:val="center"/>
            </w:pPr>
            <w:r>
              <w:rPr>
                <w:sz w:val="16"/>
              </w:rPr>
              <w:t>-39.2</w:t>
            </w:r>
          </w:p>
        </w:tc>
        <w:tc>
          <w:tcPr>
            <w:tcW w:type="dxa" w:w="1881"/>
          </w:tcPr>
          <w:p>
            <w:pPr>
              <w:jc w:val="center"/>
            </w:pPr>
            <w:r>
              <w:rPr>
                <w:sz w:val="16"/>
              </w:rPr>
              <w:t>0.8</w:t>
            </w:r>
          </w:p>
        </w:tc>
      </w:tr>
      <w:tr>
        <w:tc>
          <w:tcPr>
            <w:tcW w:type="dxa" w:w="1881"/>
          </w:tcPr>
          <w:p>
            <w:pPr>
              <w:jc w:val="center"/>
            </w:pPr>
            <w:r>
              <w:rPr>
                <w:sz w:val="16"/>
              </w:rPr>
              <w:t>110</w:t>
            </w:r>
          </w:p>
        </w:tc>
        <w:tc>
          <w:tcPr>
            <w:tcW w:type="dxa" w:w="1881"/>
          </w:tcPr>
          <w:p>
            <w:pPr>
              <w:jc w:val="center"/>
            </w:pPr>
            <w:r>
              <w:rPr>
                <w:sz w:val="16"/>
              </w:rPr>
              <w:t>-1.730</w:t>
            </w:r>
          </w:p>
        </w:tc>
        <w:tc>
          <w:tcPr>
            <w:tcW w:type="dxa" w:w="1881"/>
          </w:tcPr>
          <w:p>
            <w:pPr>
              <w:jc w:val="center"/>
            </w:pPr>
            <w:r>
              <w:rPr>
                <w:sz w:val="16"/>
              </w:rPr>
              <w:t>0.032</w:t>
            </w:r>
          </w:p>
        </w:tc>
        <w:tc>
          <w:tcPr>
            <w:tcW w:type="dxa" w:w="1881"/>
          </w:tcPr>
          <w:p>
            <w:pPr>
              <w:jc w:val="center"/>
            </w:pPr>
            <w:r>
              <w:rPr>
                <w:sz w:val="16"/>
              </w:rPr>
              <w:t>-44.4</w:t>
            </w:r>
          </w:p>
        </w:tc>
        <w:tc>
          <w:tcPr>
            <w:tcW w:type="dxa" w:w="1881"/>
          </w:tcPr>
          <w:p>
            <w:pPr>
              <w:jc w:val="center"/>
            </w:pPr>
            <w:r>
              <w:rPr>
                <w:sz w:val="16"/>
              </w:rPr>
              <w:t>0.6</w:t>
            </w:r>
          </w:p>
        </w:tc>
      </w:tr>
    </w:tbl>
    <w:p>
      <w:pPr>
        <w:pStyle w:val="Heading1"/>
      </w:pPr>
      <w:r>
        <w:t>4. 고찰</w:t>
      </w:r>
    </w:p>
    <w:p>
      <w:r>
        <w:t>20°C에서 측정된 n ≈ 1.24는 다공성 PE 분리막의 유효 굴절률로서, 벌크 PE(n ≈ 1.53)와 공기(n = 1.0)의 혼합으로 설명된다. Bruggeman 유효 매질 근사를 적용하면 기공률 약 40–50%에 해당하며, 이는 상용 분리막의 공칭 기공률과 일치한다.</w:t>
      </w:r>
    </w:p>
    <w:p>
      <w:r>
        <w:t>온도 증가에 따른 굴절률 감소 경향은 두 가지 요인의 복합 효과로 해석된다:</w:t>
      </w:r>
    </w:p>
    <w:p>
      <w:pPr>
        <w:pStyle w:val="ListBullet"/>
      </w:pPr>
      <w:r>
        <w:t>챔버 내 공기 경로 효과: 20 μm 시료에 비해 수 cm의 공기 경로가 존재하며, 고온에서 공기의 굴절률 감소가 측정 전달함수에 체계적 오차를 유발한다.</w:t>
      </w:r>
    </w:p>
    <w:p>
      <w:pPr>
        <w:pStyle w:val="ListBullet"/>
      </w:pPr>
      <w:r>
        <w:t>시료 구조 변화: PE 분리막은 100–130°C 부근에서 열수축(thermal shutdown)이 시작되며, 이에 따른 기공 구조 변화가 유효 굴절률에 영향을 준다.</w:t>
      </w:r>
    </w:p>
    <w:p>
      <w:pPr>
        <w:pStyle w:val="ListBullet"/>
      </w:pPr>
      <w:r>
        <w:t>Method 3 (차등 분석)에서도 유사한 감소 추세가 관찰되어, 단순 공기 경로 보정만으로는 설명이 불충분하며, 시료 자체의 온도 의존성이 존재함을 시사한다.</w:t>
      </w:r>
    </w:p>
    <w:p>
      <w:pPr>
        <w:pStyle w:val="Heading1"/>
      </w:pPr>
      <w:r>
        <w:t>5. 결론</w:t>
      </w:r>
    </w:p>
    <w:p>
      <w:pPr>
        <w:pStyle w:val="ListBullet"/>
      </w:pPr>
      <w:r>
        <w:t>THz-TDS를 이용하여 PE20 분리막의 20–110°C 온도 범위에서 광학물성(n, α)을 성공적으로 측정하였다.</w:t>
      </w:r>
    </w:p>
    <w:p>
      <w:pPr>
        <w:pStyle w:val="ListBullet"/>
      </w:pPr>
      <w:r>
        <w:t>20°C에서 유효 굴절률 n = 1.24 ± 0.02 (1.0 THz)로, 다공성 구조에 의한 벌크 PE 대비 낮은 값을 확인하였다.</w:t>
      </w:r>
    </w:p>
    <w:p>
      <w:pPr>
        <w:pStyle w:val="ListBullet"/>
      </w:pPr>
      <w:r>
        <w:t>온도 증가에 따라 굴절률이 단조 감소하며, 이 변화는 0.5–1.5 THz 범위에서 주파수 의존성이 미미하다.</w:t>
      </w:r>
    </w:p>
    <w:p>
      <w:pPr>
        <w:pStyle w:val="ListBullet"/>
      </w:pPr>
      <w:r>
        <w:t>절대 분석(Method 2)과 차등 분석(Method 3) 모두 일관된 온도 의존 추세를 보이나, 20 μm 초박막에 대한 정량적 해석에는 공기 경로 효과의 정밀한 보정이 필요하다.</w:t>
      </w:r>
    </w:p>
    <w:p>
      <w:pPr>
        <w:pStyle w:val="ListBullet"/>
      </w:pPr>
      <w:r>
        <w:t>THz-TDS가 이차전지 분리막의 비파괴 온도 모니터링에 활용될 수 있는 가능성을 확인하였다.</w:t>
      </w:r>
    </w:p>
    <w:p>
      <w:pPr>
        <w:pStyle w:val="Heading1"/>
      </w:pPr>
      <w:r>
        <w:t>6. 분석 조건 요약</w:t>
      </w:r>
    </w:p>
    <w:p>
      <w:pPr>
        <w:pStyle w:val="ListBullet"/>
      </w:pPr>
      <w:r>
        <w:rPr>
          <w:b/>
        </w:rPr>
        <w:t xml:space="preserve">시료 두께: </w:t>
      </w:r>
      <w:r>
        <w:t>20 μm (0.02 mm)</w:t>
      </w:r>
    </w:p>
    <w:p>
      <w:pPr>
        <w:pStyle w:val="ListBullet"/>
      </w:pPr>
      <w:r>
        <w:rPr>
          <w:b/>
        </w:rPr>
        <w:t xml:space="preserve">주파수 범위: </w:t>
      </w:r>
      <w:r>
        <w:t>0.2–2.5 THz</w:t>
      </w:r>
    </w:p>
    <w:p>
      <w:pPr>
        <w:pStyle w:val="ListBullet"/>
      </w:pPr>
      <w:r>
        <w:rPr>
          <w:b/>
        </w:rPr>
        <w:t xml:space="preserve">윈도우 함수: </w:t>
      </w:r>
      <w:r>
        <w:t>Hann</w:t>
      </w:r>
    </w:p>
    <w:p>
      <w:pPr>
        <w:pStyle w:val="ListBullet"/>
      </w:pPr>
      <w:r>
        <w:rPr>
          <w:b/>
        </w:rPr>
        <w:t xml:space="preserve">Zero-padding: </w:t>
      </w:r>
      <w:r>
        <w:t>×2 (next power of 2)</w:t>
      </w:r>
    </w:p>
    <w:p>
      <w:pPr>
        <w:pStyle w:val="ListBullet"/>
      </w:pPr>
      <w:r>
        <w:rPr>
          <w:b/>
        </w:rPr>
        <w:t xml:space="preserve">전달함수 모델: </w:t>
      </w:r>
      <w:r>
        <w:t>Thin-film approximation</w:t>
      </w:r>
    </w:p>
    <w:p>
      <w:pPr>
        <w:pStyle w:val="ListBullet"/>
      </w:pPr>
      <w:r>
        <w:rPr>
          <w:b/>
        </w:rPr>
        <w:t xml:space="preserve">최적화: </w:t>
      </w:r>
      <w:r>
        <w:t>Nelder-Mead (freq-by-freq, warm-starting)</w:t>
      </w:r>
    </w:p>
    <w:p>
      <w:pPr>
        <w:pStyle w:val="ListBullet"/>
      </w:pPr>
      <w:r>
        <w:rPr>
          <w:b/>
        </w:rPr>
        <w:t xml:space="preserve">공기 보정: </w:t>
      </w:r>
      <w:r>
        <w:t>n_air(T) = 1 + 2.88×10⁻⁴ × (273.15/T_K)</w:t>
      </w:r>
    </w:p>
    <w:p>
      <w:pPr>
        <w:pStyle w:val="ListBullet"/>
      </w:pPr>
      <w:r>
        <w:rPr>
          <w:b/>
        </w:rPr>
        <w:t xml:space="preserve">챔버 길이: </w:t>
      </w:r>
      <w:r>
        <w:t>1 cm</w:t>
      </w:r>
    </w:p>
    <w:p>
      <w:pPr>
        <w:pStyle w:val="ListBullet"/>
      </w:pPr>
      <w:r>
        <w:rPr>
          <w:b/>
        </w:rPr>
        <w:t xml:space="preserve">소프트웨어: </w:t>
      </w:r>
      <w:r>
        <w:t>Python 3.9 + NumPy/SciPy + 자체 개발 THz-TDS 라이브러리</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