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framePr w:w="9639" w:h="301" w:wrap="around" w:hAnchor="page" w:x="1135" w:yAlign="top"/>
        <w:spacing w:line="260" w:lineRule="atLeast" w:after="0"/>
        <w:jc w:val="center"/>
      </w:pPr>
      <w:r>
        <w:rPr>
          <w:rFonts w:ascii="돋움" w:hAnsi="돋움" w:eastAsia="돋움"/>
          <w:b/>
          <w:sz w:val="26"/>
        </w:rPr>
        <w:t>다중 무인기의 이동표적 탐지 경로계획: 확률적 탐색이론 기반 접근</w:t>
      </w:r>
    </w:p>
    <w:p>
      <w:pPr>
        <w:framePr w:w="9639" w:h="301" w:wrap="around" w:hAnchor="page" w:x="1135" w:yAlign="top"/>
        <w:spacing w:line="240" w:lineRule="atLeast" w:after="0"/>
        <w:jc w:val="center"/>
      </w:pPr>
      <w:r>
        <w:rPr>
          <w:rFonts w:ascii="돋움" w:hAnsi="돋움" w:eastAsia="돋움"/>
          <w:b w:val="0"/>
          <w:sz w:val="19"/>
        </w:rPr>
        <w:t>Path Planning for Multi-UAV Moving-Target Detection: A Probabilistic Search-Theoretic Approach</w:t>
      </w:r>
    </w:p>
    <w:p>
      <w:pPr>
        <w:framePr w:w="9639" w:h="301" w:wrap="around" w:hAnchor="page" w:x="1135" w:yAlign="top"/>
        <w:spacing w:line="240" w:lineRule="atLeast" w:after="0"/>
        <w:jc w:val="center"/>
      </w:pPr>
      <w:r>
        <w:rPr>
          <w:rFonts w:ascii="돋움" w:hAnsi="돋움" w:eastAsia="돋움"/>
          <w:b w:val="0"/>
          <w:sz w:val="18"/>
        </w:rPr>
        <w:t>홍길동*·성명2**</w:t>
      </w:r>
    </w:p>
    <w:p>
      <w:pPr>
        <w:framePr w:w="9639" w:h="301" w:wrap="around" w:hAnchor="page" w:x="1135" w:yAlign="top"/>
        <w:spacing w:line="220" w:lineRule="atLeast" w:after="0"/>
        <w:jc w:val="center"/>
      </w:pPr>
      <w:r>
        <w:rPr>
          <w:rFonts w:ascii="돋움" w:hAnsi="돋움" w:eastAsia="돋움"/>
          <w:b w:val="0"/>
          <w:sz w:val="16"/>
        </w:rPr>
        <w:t>* 소속1   ** 소속2   (발표자 이메일 주소)</w:t>
      </w:r>
    </w:p>
    <w:p>
      <w:pPr>
        <w:framePr w:w="9639" w:h="301" w:wrap="around" w:hAnchor="page" w:x="1135" w:yAlign="top"/>
        <w:spacing w:line="200" w:lineRule="atLeast" w:after="0"/>
        <w:jc w:val="both"/>
      </w:pPr>
    </w:p>
    <w:p>
      <w:pPr>
        <w:spacing w:line="260" w:lineRule="atLeast" w:after="0"/>
        <w:jc w:val="left"/>
      </w:pPr>
      <w:r>
        <w:rPr>
          <w:rFonts w:ascii="돋움" w:hAnsi="돋움" w:eastAsia="돋움"/>
          <w:b/>
          <w:sz w:val="18"/>
        </w:rPr>
        <w:t>ABSTRACT</w:t>
      </w:r>
    </w:p>
    <w:p>
      <w:pPr>
        <w:spacing w:line="195" w:lineRule="atLeast" w:after="0"/>
        <w:jc w:val="both"/>
      </w:pPr>
      <w:r>
        <w:rPr>
          <w:rFonts w:ascii="바탕" w:hAnsi="바탕" w:eastAsia="바탕"/>
          <w:b w:val="0"/>
          <w:sz w:val="16"/>
        </w:rPr>
        <w:t>A team of small unmanned aircraft sweeps only a fraction of an area of interest within its endurance and its motion is confined to a path, so search effort cannot be apportioned freely across cells. Paths are chosen by a mixed-integer program a grid-reduced target distribution, in which the sweep contribution of a move is distributed over every cell the flight path traverses. A cutting-plane scheme bounds each plan's distance from the best plan the model admits, and a cell-free evaluator measures the distance between that model and continuous space. The two are shown to be independent.</w:t>
      </w:r>
    </w:p>
    <w:p>
      <w:pPr>
        <w:spacing w:line="195" w:lineRule="atLeast" w:after="0"/>
        <w:jc w:val="both"/>
      </w:pPr>
      <w:r>
        <w:rPr>
          <w:rFonts w:ascii="바탕" w:hAnsi="바탕" w:eastAsia="바탕"/>
          <w:b/>
          <w:sz w:val="16"/>
        </w:rPr>
        <w:t>Key Words : Cooperative Search, Search Theory, Path-Constrained Search, Cutting-Plane Method, Mixed-Integer Programming, Unmanned Aerial Vehicle</w:t>
      </w:r>
    </w:p>
    <w:p>
      <w:pPr>
        <w:spacing w:line="260" w:lineRule="atLeast" w:after="0"/>
        <w:jc w:val="left"/>
      </w:pPr>
      <w:r>
        <w:rPr>
          <w:rFonts w:ascii="돋움" w:hAnsi="돋움" w:eastAsia="돋움"/>
          <w:b/>
          <w:sz w:val="18"/>
        </w:rPr>
        <w:t>1. 서 론</w:t>
      </w:r>
    </w:p>
    <w:p>
      <w:pPr>
        <w:spacing w:line="240" w:lineRule="atLeast" w:after="0"/>
        <w:ind w:firstLineChars="100" w:firstLine="180"/>
        <w:jc w:val="both"/>
      </w:pPr>
      <w:r>
        <w:rPr>
          <w:rFonts w:ascii="바탕" w:hAnsi="바탕" w:eastAsia="바탕"/>
          <w:b w:val="0"/>
          <w:sz w:val="18"/>
        </w:rPr>
        <w:t>확률에 기반한 탐색이론은 제2차 세계대전기 대잠전에서 출발하였다. Koopman의 탐지폭(sweep width)과 무작위탐색 모형을 Stone이 최적탐색 배분 이론으로 체계화하였고[1], 유실 수소폭탄 회수와 잠수함 Scorpion 탐색, 해안경비대 수색구조 체계에 쓰였다. 탐색 자원은 표적이 있을 법한 영역에 비해 언제나 작다.</w:t>
      </w:r>
    </w:p>
    <w:p>
      <w:pPr>
        <w:spacing w:line="240" w:lineRule="atLeast" w:after="0"/>
        <w:ind w:firstLineChars="100" w:firstLine="180"/>
        <w:jc w:val="both"/>
      </w:pPr>
      <w:r>
        <w:rPr>
          <w:rFonts w:ascii="바탕" w:hAnsi="바탕" w:eastAsia="바탕"/>
          <w:b w:val="0"/>
          <w:sz w:val="18"/>
        </w:rPr>
        <w:t>탐색 수단이 무인기로 옮겨 오면서 이 문제는 다시 현안이 되었다. 무인기는 체공시간과 탐지폭이 제한되어 탐색 면적이 작고 기동이 경로로 묶이므로, 고전 이론이 전제하는 효과의 자유로운 배분이 성립하지 않는다. 표적이 이동하면 정지 표적의 결과도 쓸 수 없다.</w:t>
      </w:r>
    </w:p>
    <w:p>
      <w:pPr>
        <w:spacing w:line="240" w:lineRule="atLeast" w:after="0"/>
        <w:ind w:firstLineChars="100" w:firstLine="180"/>
        <w:jc w:val="both"/>
      </w:pPr>
      <w:r>
        <w:rPr>
          <w:rFonts w:ascii="바탕" w:hAnsi="바탕" w:eastAsia="바탕"/>
          <w:b w:val="0"/>
          <w:sz w:val="18"/>
        </w:rPr>
        <w:t>이 문제는 정지 표적에 대해서도 NP-complete이며[3], 이동표적 문제가 이를 포함한다. 단일 탐색자의 분지한계 해법[2]과 복수 탐색자로의 혼합정수 확장[6]이 제시되어 Stone 등[1]이 정리하였다. 본 논문은 소인 효과를 경로가 통과한 셀 전체에 배분하는 형태로 이를 확장하고, 계획이 모형의 최적해로부터 떨어진 거리와 모형이 연속 공간으로부터 떨어진 거리를 함께 측정한다.</w:t>
      </w:r>
    </w:p>
    <w:p>
      <w:pPr>
        <w:spacing w:line="260" w:lineRule="atLeast" w:after="0"/>
        <w:jc w:val="left"/>
      </w:pPr>
      <w:r>
        <w:rPr>
          <w:rFonts w:ascii="돋움" w:hAnsi="돋움" w:eastAsia="돋움"/>
          <w:b/>
          <w:sz w:val="18"/>
        </w:rPr>
        <w:t>2. 본 론</w:t>
      </w:r>
    </w:p>
    <w:p>
      <w:pPr>
        <w:spacing w:line="260" w:lineRule="atLeast" w:after="0"/>
        <w:jc w:val="left"/>
      </w:pPr>
      <w:r>
        <w:rPr>
          <w:rFonts w:ascii="돋움" w:hAnsi="돋움" w:eastAsia="돋움"/>
          <w:b/>
          <w:sz w:val="18"/>
        </w:rPr>
        <w:t>2.1 문제 정식화</w:t>
      </w:r>
    </w:p>
    <w:p>
      <w:pPr>
        <w:spacing w:line="240" w:lineRule="atLeast" w:after="0"/>
        <w:ind w:firstLineChars="100" w:firstLine="180"/>
        <w:jc w:val="both"/>
      </w:pPr>
      <w:r>
        <w:rPr>
          <w:rFonts w:ascii="바탕" w:hAnsi="바탕" w:eastAsia="바탕"/>
          <w:b w:val="0"/>
          <w:sz w:val="18"/>
        </w:rPr>
        <w:t>센서 성능은 측방 탐지확률 곡선의 적분인 탐지폭 W로 요약한다[1]. 면적 A에 소인면적 S가 축적되었을 때 무작위탐색 가정 하의 탐지확률은 1 − exp(−a), a = S/A이다. a는 확률이 아니라 탐지 위험률(hazard)의 시간 적분이므로 탐색자에 대해 가산적이고, 이 성질이 목적함수의 입력을 결정변수에 선형으로 유지한다.</w:t>
      </w:r>
    </w:p>
    <w:p>
      <w:pPr>
        <w:spacing w:line="240" w:lineRule="atLeast" w:after="0"/>
        <w:ind w:firstLineChars="100" w:firstLine="180"/>
        <w:jc w:val="both"/>
      </w:pPr>
      <w:r>
        <w:rPr>
          <w:rFonts w:ascii="바탕" w:hAnsi="바탕" w:eastAsia="바탕"/>
          <w:b w:val="0"/>
          <w:sz w:val="18"/>
        </w:rPr>
        <w:t>관심구역은 원에 외접하는 정사각 격자로 나눈다. 한 단계의 도달거리가 셀 한 변보다 짧으면 셀을 벗어날 수 없고 √2배를 넘으면 대각 이동이 열리므로, 셀 크기와 단계 수는 따로 정할 수 없다. 한 단계에 셀 한 변을 전진한다는 조건으로 단계 수를 유도하면 그 비가 1.07~1.20이어서 대각 이동이 배제되고 후속 셀은 최대 5개다.</w:t>
      </w:r>
    </w:p>
    <w:p>
      <w:pPr>
        <w:spacing w:line="240" w:lineRule="atLeast" w:after="0"/>
        <w:ind w:firstLineChars="100" w:firstLine="180"/>
        <w:jc w:val="both"/>
      </w:pPr>
      <w:r>
        <w:rPr>
          <w:rFonts w:ascii="바탕" w:hAnsi="바탕" w:eastAsia="바탕"/>
          <w:b w:val="0"/>
          <w:sz w:val="18"/>
        </w:rPr>
        <w:t>이동 중에도 센서는 작동한다. 소인을 도착 셀에만 주면 이동 구간에서 실제로 탐색된 셀에 hazard가 쌓이지 않는다(Fig. 1). 본 논문은 한 호가 통과한 각 셀에 탐지폭과 그 셀 내부 통과 길이의 곱을, 도착 셀에는 잔여 체류시간과 비행속도의 곱을 더해 셀 면적으로 나눈 값을 hazard 계수로 쓴다. 지형은 센서가 아니라 표적 belief에 작용한다(2.3절).</w:t>
      </w:r>
    </w:p>
    <w:p>
      <w:pPr>
        <w:spacing w:line="80" w:lineRule="atLeast" w:after="0"/>
        <w:jc w:val="both"/>
      </w:pPr>
    </w:p>
    <w:p>
      <w:pPr>
        <w:jc w:val="center"/>
      </w:pPr>
      <w:r>
        <w:drawing>
          <wp:inline xmlns:a="http://schemas.openxmlformats.org/drawingml/2006/main" xmlns:pic="http://schemas.openxmlformats.org/drawingml/2006/picture">
            <wp:extent cx="2852928" cy="1355328"/>
            <wp:docPr id="1" name="Picture 1"/>
            <wp:cNvGraphicFramePr>
              <a:graphicFrameLocks noChangeAspect="1"/>
            </wp:cNvGraphicFramePr>
            <a:graphic>
              <a:graphicData uri="http://schemas.openxmlformats.org/drawingml/2006/picture">
                <pic:pic>
                  <pic:nvPicPr>
                    <pic:cNvPr id="0" name="fig1_sweep_allocation.png"/>
                    <pic:cNvPicPr/>
                  </pic:nvPicPr>
                  <pic:blipFill>
                    <a:blip r:embed="rId13"/>
                    <a:stretch>
                      <a:fillRect/>
                    </a:stretch>
                  </pic:blipFill>
                  <pic:spPr>
                    <a:xfrm>
                      <a:off x="0" y="0"/>
                      <a:ext cx="2852928" cy="1355328"/>
                    </a:xfrm>
                    <a:prstGeom prst="rect"/>
                  </pic:spPr>
                </pic:pic>
              </a:graphicData>
            </a:graphic>
          </wp:inline>
        </w:drawing>
      </w:r>
    </w:p>
    <w:p>
      <w:pPr>
        <w:spacing w:line="220" w:lineRule="atLeast" w:after="0"/>
        <w:jc w:val="center"/>
      </w:pPr>
      <w:r>
        <w:rPr>
          <w:rFonts w:ascii="돋움" w:hAnsi="돋움" w:eastAsia="돋움"/>
          <w:b w:val="0"/>
          <w:sz w:val="16"/>
        </w:rPr>
        <w:t>Fig. 1. Sweep effort assigned to the arrival cell only versus distributed over every traversed cell</w:t>
      </w:r>
    </w:p>
    <w:p>
      <w:pPr>
        <w:spacing w:line="100" w:lineRule="atLeast" w:after="0"/>
        <w:jc w:val="both"/>
      </w:pPr>
    </w:p>
    <w:p>
      <w:pPr>
        <w:spacing w:line="240" w:lineRule="atLeast" w:after="0"/>
        <w:ind w:firstLineChars="100" w:firstLine="180"/>
        <w:jc w:val="both"/>
      </w:pPr>
      <w:r>
        <w:rPr>
          <w:rFonts w:ascii="바탕" w:hAnsi="바탕" w:eastAsia="바탕"/>
          <w:b w:val="0"/>
          <w:sz w:val="18"/>
        </w:rPr>
        <w:t>표적 종류는 식별되나 기동 양상은 미지인 조건을 고려하여 한 표적 유형을 기동 가설 k ∈ K로 나누고 최악 가설로 평가한다. 초기 확률분포 π, 전이행렬 P, 누적 hazard 장 Y에 대한 목적함수는 식 (1)이다.</w:t>
      </w:r>
    </w:p>
    <w:p>
      <w:pPr>
        <w:spacing w:line="260" w:lineRule="atLeast" w:after="0"/>
        <w:jc w:val="center"/>
      </w:pPr>
      <w:r>
        <w:rPr>
          <w:rFonts w:ascii="바탕" w:hAnsi="바탕"/>
          <w:sz w:val="18"/>
        </w:rPr>
        <w:t>u</w:t>
      </w:r>
      <w:r>
        <w:rPr>
          <w:rFonts w:ascii="바탕" w:hAnsi="바탕"/>
          <w:sz w:val="18"/>
          <w:vertAlign w:val="subscript"/>
        </w:rPr>
        <w:t>1</w:t>
      </w:r>
      <w:r>
        <w:rPr>
          <w:rFonts w:ascii="바탕" w:hAnsi="바탕"/>
          <w:sz w:val="18"/>
        </w:rPr>
        <w:t xml:space="preserve"> = π ,    u</w:t>
      </w:r>
      <w:r>
        <w:rPr>
          <w:rFonts w:ascii="바탕" w:hAnsi="바탕"/>
          <w:sz w:val="18"/>
          <w:vertAlign w:val="subscript"/>
        </w:rPr>
        <w:t>t+1</w:t>
      </w:r>
      <w:r>
        <w:rPr>
          <w:rFonts w:ascii="바탕" w:hAnsi="바탕"/>
          <w:sz w:val="18"/>
        </w:rPr>
        <w:t xml:space="preserve"> = ( u</w:t>
      </w:r>
      <w:r>
        <w:rPr>
          <w:rFonts w:ascii="바탕" w:hAnsi="바탕"/>
          <w:sz w:val="18"/>
          <w:vertAlign w:val="subscript"/>
        </w:rPr>
        <w:t>t</w:t>
      </w:r>
      <w:r>
        <w:rPr>
          <w:rFonts w:ascii="바탕" w:hAnsi="바탕"/>
          <w:sz w:val="18"/>
        </w:rPr>
        <w:t xml:space="preserve"> ⊙ exp(−Y</w:t>
      </w:r>
      <w:r>
        <w:rPr>
          <w:rFonts w:ascii="바탕" w:hAnsi="바탕"/>
          <w:sz w:val="18"/>
          <w:vertAlign w:val="subscript"/>
        </w:rPr>
        <w:t>t</w:t>
      </w:r>
      <w:r>
        <w:rPr>
          <w:rFonts w:ascii="바탕" w:hAnsi="바탕"/>
          <w:sz w:val="18"/>
        </w:rPr>
        <w:t>) ) P</w:t>
      </w:r>
      <w:r>
        <w:rPr>
          <w:rFonts w:ascii="바탕" w:hAnsi="바탕"/>
          <w:sz w:val="18"/>
          <w:vertAlign w:val="subscript"/>
        </w:rPr>
        <w:t>t</w:t>
      </w:r>
    </w:p>
    <w:p>
      <w:pPr>
        <w:spacing w:line="260" w:lineRule="atLeast" w:after="0"/>
        <w:jc w:val="center"/>
      </w:pPr>
      <w:r>
        <w:rPr>
          <w:rFonts w:ascii="바탕" w:hAnsi="바탕"/>
          <w:sz w:val="18"/>
        </w:rPr>
        <w:t>f</w:t>
      </w:r>
      <w:r>
        <w:rPr>
          <w:rFonts w:ascii="바탕" w:hAnsi="바탕"/>
          <w:sz w:val="18"/>
          <w:vertAlign w:val="subscript"/>
        </w:rPr>
        <w:t>k</w:t>
      </w:r>
      <w:r>
        <w:rPr>
          <w:rFonts w:ascii="바탕" w:hAnsi="바탕"/>
          <w:sz w:val="18"/>
        </w:rPr>
        <w:t>(Y) = Σ</w:t>
      </w:r>
      <w:r>
        <w:rPr>
          <w:rFonts w:ascii="바탕" w:hAnsi="바탕"/>
          <w:sz w:val="18"/>
          <w:vertAlign w:val="subscript"/>
        </w:rPr>
        <w:t>i</w:t>
      </w:r>
      <w:r>
        <w:rPr>
          <w:rFonts w:ascii="바탕" w:hAnsi="바탕"/>
          <w:sz w:val="18"/>
        </w:rPr>
        <w:t xml:space="preserve"> u</w:t>
      </w:r>
      <w:r>
        <w:rPr>
          <w:rFonts w:ascii="바탕" w:hAnsi="바탕"/>
          <w:sz w:val="18"/>
          <w:vertAlign w:val="subscript"/>
        </w:rPr>
        <w:t>T</w:t>
      </w:r>
      <w:r>
        <w:rPr>
          <w:rFonts w:ascii="바탕" w:hAnsi="바탕"/>
          <w:sz w:val="18"/>
        </w:rPr>
        <w:t>(i) · exp(−Y</w:t>
      </w:r>
      <w:r>
        <w:rPr>
          <w:rFonts w:ascii="바탕" w:hAnsi="바탕"/>
          <w:sz w:val="18"/>
          <w:vertAlign w:val="subscript"/>
        </w:rPr>
        <w:t>T,i</w:t>
      </w:r>
      <w:r>
        <w:rPr>
          <w:rFonts w:ascii="바탕" w:hAnsi="바탕"/>
          <w:sz w:val="18"/>
        </w:rPr>
        <w:t>)</w:t>
      </w:r>
    </w:p>
    <w:p>
      <w:pPr>
        <w:spacing w:line="260" w:lineRule="atLeast" w:after="0"/>
        <w:jc w:val="center"/>
        <w:tabs>
          <w:tab w:val="right" w:pos="4620"/>
        </w:tabs>
      </w:pPr>
      <w:r>
        <w:rPr>
          <w:rFonts w:ascii="바탕" w:hAnsi="바탕"/>
          <w:sz w:val="18"/>
        </w:rPr>
        <w:t>min</w:t>
      </w:r>
      <w:r>
        <w:rPr>
          <w:rFonts w:ascii="바탕" w:hAnsi="바탕"/>
          <w:sz w:val="18"/>
          <w:vertAlign w:val="subscript"/>
        </w:rPr>
        <w:t>X</w:t>
      </w:r>
      <w:r>
        <w:rPr>
          <w:rFonts w:ascii="바탕" w:hAnsi="바탕"/>
          <w:sz w:val="18"/>
        </w:rPr>
        <w:t xml:space="preserve">  max</w:t>
      </w:r>
      <w:r>
        <w:rPr>
          <w:rFonts w:ascii="바탕" w:hAnsi="바탕"/>
          <w:sz w:val="18"/>
          <w:vertAlign w:val="subscript"/>
        </w:rPr>
        <w:t>k∈K</w:t>
      </w:r>
      <w:r>
        <w:rPr>
          <w:rFonts w:ascii="바탕" w:hAnsi="바탕"/>
          <w:sz w:val="18"/>
        </w:rPr>
        <w:t xml:space="preserve">  f</w:t>
      </w:r>
      <w:r>
        <w:rPr>
          <w:rFonts w:ascii="바탕" w:hAnsi="바탕"/>
          <w:sz w:val="18"/>
          <w:vertAlign w:val="subscript"/>
        </w:rPr>
        <w:t>k</w:t>
      </w:r>
      <w:r>
        <w:rPr>
          <w:rFonts w:ascii="바탕" w:hAnsi="바탕"/>
          <w:sz w:val="18"/>
        </w:rPr>
        <w:t>( Y(X) )</w:t>
      </w:r>
      <w:r>
        <w:rPr>
          <w:rFonts w:ascii="바탕" w:hAnsi="바탕"/>
          <w:sz w:val="18"/>
        </w:rPr>
        <w:tab/>
        <w:t>(1)</w:t>
      </w:r>
    </w:p>
    <w:p>
      <w:pPr>
        <w:spacing w:line="240" w:lineRule="atLeast" w:after="0"/>
        <w:ind w:firstLineChars="100" w:firstLine="180"/>
        <w:jc w:val="both"/>
      </w:pPr>
      <w:r>
        <w:rPr>
          <w:rFonts w:ascii="바탕" w:hAnsi="바탕" w:eastAsia="바탕"/>
          <w:b w:val="0"/>
          <w:sz w:val="18"/>
        </w:rPr>
        <w:t>X는 탐색자가 지나는 호를 나타내는 이진 결정변수이며, Y는 그 셀을 지나는 모든 호의 계수 합이므로 X에 대해 선형이다. 제약은 탐색자별·단계별 행동 1개, 흐름 보존, 셀 점유 한도, 양립 불가 이동이다.</w:t>
      </w:r>
    </w:p>
    <w:p>
      <w:pPr>
        <w:spacing w:line="260" w:lineRule="atLeast" w:after="0"/>
        <w:jc w:val="left"/>
      </w:pPr>
      <w:r>
        <w:rPr>
          <w:rFonts w:ascii="돋움" w:hAnsi="돋움" w:eastAsia="돋움"/>
          <w:b/>
          <w:sz w:val="18"/>
        </w:rPr>
        <w:t>2.2 최적성 인증 해법</w:t>
      </w:r>
    </w:p>
    <w:p>
      <w:pPr>
        <w:spacing w:line="240" w:lineRule="atLeast" w:after="0"/>
        <w:ind w:firstLineChars="100" w:firstLine="180"/>
        <w:jc w:val="both"/>
      </w:pPr>
      <w:r>
        <w:rPr>
          <w:rFonts w:ascii="바탕" w:hAnsi="바탕" w:eastAsia="바탕"/>
          <w:b w:val="0"/>
          <w:sz w:val="18"/>
        </w:rPr>
        <w:t>f_k는 Y에 볼록하고 Y는 X에 선형이므로 f_k의 접평면은 하계를 이룬다. 보조변수 η로 Kelley[4] 및 Duran–Grossmann[5] 형태의 외부 근사 문제를 구성하며, 이는 Stone 등[1]의 절단평면 알고리즘과 동형이다. 기울기는 식 (1)의 전방 재귀와 대응하는 후방 재귀에서 한 번의 통과로 나오므로 표적 경로를 열거하지 않는다[7].</w:t>
      </w:r>
    </w:p>
    <w:p>
      <w:pPr>
        <w:spacing w:line="240" w:lineRule="atLeast" w:after="0"/>
        <w:ind w:firstLineChars="100" w:firstLine="180"/>
        <w:jc w:val="both"/>
      </w:pPr>
      <w:r>
        <w:rPr>
          <w:rFonts w:ascii="바탕" w:hAnsi="바탕" w:eastAsia="바탕"/>
          <w:b w:val="0"/>
          <w:sz w:val="18"/>
        </w:rPr>
        <w:t>각 반복에서 주문제의 최적값은 하계 L, 그 정수해를 식 (1)로 평가한 값은 상계 U가 되며 최적성 간격을 (U − L)/|U|로 정의한다. 주문제는 HiGHS[8]로 푼다. 셀 수가 늘면 주문제 규모가 격자 한 변의 3차로 증가해 인증 가능한 해상도의 상한을 만든다(Fig. 2).</w:t>
      </w:r>
    </w:p>
    <w:p>
      <w:pPr>
        <w:spacing w:line="80" w:lineRule="atLeast" w:after="0"/>
        <w:jc w:val="both"/>
      </w:pPr>
    </w:p>
    <w:p>
      <w:pPr>
        <w:jc w:val="center"/>
      </w:pPr>
      <w:r>
        <w:drawing>
          <wp:inline xmlns:a="http://schemas.openxmlformats.org/drawingml/2006/main" xmlns:pic="http://schemas.openxmlformats.org/drawingml/2006/picture">
            <wp:extent cx="2852928" cy="2223936"/>
            <wp:docPr id="2" name="Picture 2"/>
            <wp:cNvGraphicFramePr>
              <a:graphicFrameLocks noChangeAspect="1"/>
            </wp:cNvGraphicFramePr>
            <a:graphic>
              <a:graphicData uri="http://schemas.openxmlformats.org/drawingml/2006/picture">
                <pic:pic>
                  <pic:nvPicPr>
                    <pic:cNvPr id="0" name="fig3_workflow.png"/>
                    <pic:cNvPicPr/>
                  </pic:nvPicPr>
                  <pic:blipFill>
                    <a:blip r:embed="rId14"/>
                    <a:stretch>
                      <a:fillRect/>
                    </a:stretch>
                  </pic:blipFill>
                  <pic:spPr>
                    <a:xfrm>
                      <a:off x="0" y="0"/>
                      <a:ext cx="2852928" cy="2223936"/>
                    </a:xfrm>
                    <a:prstGeom prst="rect"/>
                  </pic:spPr>
                </pic:pic>
              </a:graphicData>
            </a:graphic>
          </wp:inline>
        </w:drawing>
      </w:r>
    </w:p>
    <w:p>
      <w:pPr>
        <w:spacing w:line="220" w:lineRule="atLeast" w:after="0"/>
        <w:jc w:val="center"/>
      </w:pPr>
      <w:r>
        <w:rPr>
          <w:rFonts w:ascii="돋움" w:hAnsi="돋움" w:eastAsia="돋움"/>
          <w:b w:val="0"/>
          <w:sz w:val="16"/>
        </w:rPr>
        <w:t>Fig. 2. Workflow for path planning and evaluation</w:t>
      </w:r>
    </w:p>
    <w:p>
      <w:pPr>
        <w:spacing w:line="100" w:lineRule="atLeast" w:after="0"/>
        <w:jc w:val="both"/>
      </w:pPr>
    </w:p>
    <w:p>
      <w:pPr>
        <w:spacing w:line="260" w:lineRule="atLeast" w:after="0"/>
        <w:jc w:val="left"/>
      </w:pPr>
      <w:r>
        <w:rPr>
          <w:rFonts w:ascii="돋움" w:hAnsi="돋움" w:eastAsia="돋움"/>
          <w:b/>
          <w:sz w:val="18"/>
        </w:rPr>
        <w:t>2.3 구현 검증과 가정</w:t>
      </w:r>
    </w:p>
    <w:p>
      <w:pPr>
        <w:spacing w:line="240" w:lineRule="atLeast" w:after="0"/>
        <w:ind w:firstLineChars="100" w:firstLine="180"/>
        <w:jc w:val="both"/>
      </w:pPr>
      <w:r>
        <w:rPr>
          <w:rFonts w:ascii="바탕" w:hAnsi="바탕" w:eastAsia="바탕"/>
          <w:b w:val="0"/>
          <w:sz w:val="18"/>
        </w:rPr>
        <w:t>구현은 네 경로로 독립 검증하였다. 완전열거로 구한 참 최적값과 솔버 상·하계의 대조, 표적 궤적을 직접 표집하는 몬테카를로와의 대조(최대 절대차 5.3×10⁻⁵), 기울기의 중심차분 대조(최대 차 2.4×10⁻¹¹), 접평면의 하계성 검사(위반 0건)이다.</w:t>
      </w:r>
    </w:p>
    <w:p>
      <w:pPr>
        <w:spacing w:line="240" w:lineRule="atLeast" w:after="0"/>
        <w:ind w:firstLineChars="100" w:firstLine="180"/>
        <w:jc w:val="both"/>
      </w:pPr>
      <w:r>
        <w:rPr>
          <w:rFonts w:ascii="바탕" w:hAnsi="바탕" w:eastAsia="바탕"/>
          <w:b w:val="0"/>
          <w:sz w:val="18"/>
        </w:rPr>
        <w:t>가정은 셀 내부의 균일·독립을 전제하는 무작위탐색, 셀 간 Markov 전이로의 축약, 표적이 탐색자를 인지하지 않는다는 전제, 단일 값으로 요약된 탐지폭과 오탐 미고려, 통신·항법 오차 0, 그리고 사전 일괄 계획이다.</w:t>
      </w:r>
    </w:p>
    <w:p>
      <w:pPr>
        <w:spacing w:line="260" w:lineRule="atLeast" w:after="0"/>
        <w:jc w:val="left"/>
      </w:pPr>
      <w:r>
        <w:rPr>
          <w:rFonts w:ascii="돋움" w:hAnsi="돋움" w:eastAsia="돋움"/>
          <w:b/>
          <w:sz w:val="18"/>
        </w:rPr>
        <w:t>2.4 결과</w:t>
      </w:r>
    </w:p>
    <w:p>
      <w:pPr>
        <w:spacing w:line="240" w:lineRule="atLeast" w:after="0"/>
        <w:ind w:firstLineChars="100" w:firstLine="180"/>
        <w:jc w:val="both"/>
      </w:pPr>
      <w:r>
        <w:rPr>
          <w:rFonts w:ascii="바탕" w:hAnsi="바탕" w:eastAsia="바탕"/>
          <w:b w:val="0"/>
          <w:sz w:val="18"/>
        </w:rPr>
        <w:t>Fig. 3은 계획이 무엇을 보고 결정되었는지(위)와 그 결과 계획이 어떻게 움직이는지(아래)를 함께 제시한 것이다. 확률 질량은 소수의 셀에 집중되어 있고 두 지형층이 그 분포를 만든다 — 통행성은 확산 방향을, 은폐는 사전질량의 쏠림을 정한다. 다만 두 지형층은 표적 belief에만 작용하며 셀별 hazard는 바꾸지 않는다.</w:t>
      </w:r>
    </w:p>
    <w:p>
      <w:pPr>
        <w:spacing w:line="240" w:lineRule="atLeast" w:after="0"/>
        <w:ind w:firstLineChars="100" w:firstLine="180"/>
        <w:jc w:val="both"/>
      </w:pPr>
      <w:r>
        <w:rPr>
          <w:rFonts w:ascii="바탕" w:hAnsi="바탕" w:eastAsia="바탕"/>
          <w:b w:val="0"/>
          <w:sz w:val="18"/>
        </w:rPr>
        <w:t>Table 1은 인증된 계획을 두 방식으로 평가한 결과다. MILP는 계획이 전제한 셀 모형 위의 값, MC는 같은 계획을 이산화 없이 연속 공간에서 직접 표집하여 얻은 값이다(조건마다 8만 표본 이상).</w:t>
      </w:r>
    </w:p>
    <w:p>
      <w:pPr>
        <w:spacing w:line="100" w:lineRule="atLeast" w:after="0"/>
        <w:jc w:val="both"/>
      </w:pPr>
    </w:p>
    <w:p>
      <w:pPr>
        <w:spacing w:line="220" w:lineRule="atLeast" w:after="0"/>
        <w:jc w:val="center"/>
      </w:pPr>
      <w:r>
        <w:rPr>
          <w:rFonts w:ascii="돋움" w:hAnsi="돋움" w:eastAsia="돋움"/>
          <w:b w:val="0"/>
          <w:sz w:val="16"/>
        </w:rPr>
        <w:t>Table 1. MILP solutions versus Monte-Carlo evaluation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606"/>
        <w:gridCol w:w="1606"/>
        <w:gridCol w:w="1606"/>
        <w:gridCol w:w="1606"/>
        <w:gridCol w:w="1606"/>
        <w:gridCol w:w="1606"/>
      </w:tblGrid>
      <w:tr>
        <w:tc>
          <w:tcPr>
            <w:tcW w:type="dxa" w:w="1123"/>
          </w:tcPr>
          <w:p>
            <w:pPr>
              <w:jc w:val="center"/>
              <w:spacing w:line="200" w:lineRule="atLeast" w:after="0"/>
            </w:pPr>
            <w:r/>
            <w:r>
              <w:rPr>
                <w:rFonts w:ascii="돋움" w:eastAsia="돋움" w:hAnsi="돋움"/>
                <w:rFonts w:ascii="돋움" w:hAnsi="돋움"/>
                <w:b/>
                <w:sz w:val="14"/>
              </w:rPr>
              <w:t>조건</w:t>
            </w:r>
          </w:p>
        </w:tc>
        <w:tc>
          <w:tcPr>
            <w:tcW w:type="dxa" w:w="706"/>
          </w:tcPr>
          <w:p>
            <w:pPr>
              <w:jc w:val="center"/>
              <w:spacing w:line="200" w:lineRule="atLeast" w:after="0"/>
            </w:pPr>
            <w:r/>
            <w:r>
              <w:rPr>
                <w:rFonts w:ascii="돋움" w:eastAsia="돋움" w:hAnsi="돋움"/>
                <w:rFonts w:ascii="돋움" w:hAnsi="돋움"/>
                <w:b/>
                <w:sz w:val="14"/>
              </w:rPr>
              <w:t>탐지폭/셀</w:t>
            </w:r>
          </w:p>
        </w:tc>
        <w:tc>
          <w:tcPr>
            <w:tcW w:type="dxa" w:w="706"/>
          </w:tcPr>
          <w:p>
            <w:pPr>
              <w:jc w:val="center"/>
              <w:spacing w:line="200" w:lineRule="atLeast" w:after="0"/>
            </w:pPr>
            <w:r/>
            <w:r>
              <w:rPr>
                <w:rFonts w:ascii="돋움" w:eastAsia="돋움" w:hAnsi="돋움"/>
                <w:rFonts w:ascii="돋움" w:hAnsi="돋움"/>
                <w:b/>
                <w:sz w:val="14"/>
              </w:rPr>
              <w:t>MILP P_D</w:t>
            </w:r>
          </w:p>
        </w:tc>
        <w:tc>
          <w:tcPr>
            <w:tcW w:type="dxa" w:w="706"/>
          </w:tcPr>
          <w:p>
            <w:pPr>
              <w:jc w:val="center"/>
              <w:spacing w:line="200" w:lineRule="atLeast" w:after="0"/>
            </w:pPr>
            <w:r/>
            <w:r>
              <w:rPr>
                <w:rFonts w:ascii="돋움" w:eastAsia="돋움" w:hAnsi="돋움"/>
                <w:rFonts w:ascii="돋움" w:hAnsi="돋움"/>
                <w:b/>
                <w:sz w:val="14"/>
              </w:rPr>
              <w:t>최적성 간격</w:t>
            </w:r>
          </w:p>
        </w:tc>
        <w:tc>
          <w:tcPr>
            <w:tcW w:type="dxa" w:w="706"/>
          </w:tcPr>
          <w:p>
            <w:pPr>
              <w:jc w:val="center"/>
              <w:spacing w:line="200" w:lineRule="atLeast" w:after="0"/>
            </w:pPr>
            <w:r/>
            <w:r>
              <w:rPr>
                <w:rFonts w:ascii="돋움" w:eastAsia="돋움" w:hAnsi="돋움"/>
                <w:rFonts w:ascii="돋움" w:hAnsi="돋움"/>
                <w:b/>
                <w:sz w:val="14"/>
              </w:rPr>
              <w:t>MC P_D</w:t>
            </w:r>
          </w:p>
        </w:tc>
        <w:tc>
          <w:tcPr>
            <w:tcW w:type="dxa" w:w="677"/>
          </w:tcPr>
          <w:p>
            <w:pPr>
              <w:jc w:val="center"/>
              <w:spacing w:line="200" w:lineRule="atLeast" w:after="0"/>
            </w:pPr>
            <w:r/>
            <w:r>
              <w:rPr>
                <w:rFonts w:ascii="돋움" w:eastAsia="돋움" w:hAnsi="돋움"/>
                <w:rFonts w:ascii="돋움" w:hAnsi="돋움"/>
                <w:b/>
                <w:sz w:val="14"/>
              </w:rPr>
              <w:t>비</w:t>
            </w:r>
          </w:p>
        </w:tc>
      </w:tr>
      <w:tr>
        <w:tc>
          <w:tcPr>
            <w:tcW w:type="dxa" w:w="1123"/>
          </w:tcPr>
          <w:p>
            <w:pPr>
              <w:jc w:val="center"/>
              <w:spacing w:line="200" w:lineRule="atLeast" w:after="0"/>
            </w:pPr>
            <w:r/>
            <w:r>
              <w:rPr>
                <w:rFonts w:ascii="바탕" w:eastAsia="바탕" w:hAnsi="바탕"/>
                <w:rFonts w:ascii="바탕" w:hAnsi="바탕"/>
                <w:b w:val="0"/>
                <w:sz w:val="14"/>
              </w:rPr>
              <w:t>Tank 4×4</w:t>
            </w:r>
          </w:p>
        </w:tc>
        <w:tc>
          <w:tcPr>
            <w:tcW w:type="dxa" w:w="706"/>
          </w:tcPr>
          <w:p>
            <w:pPr>
              <w:jc w:val="center"/>
              <w:spacing w:line="200" w:lineRule="atLeast" w:after="0"/>
            </w:pPr>
            <w:r/>
            <w:r>
              <w:rPr>
                <w:rFonts w:ascii="바탕" w:eastAsia="바탕" w:hAnsi="바탕"/>
                <w:rFonts w:ascii="바탕" w:hAnsi="바탕"/>
                <w:b w:val="0"/>
                <w:sz w:val="14"/>
              </w:rPr>
              <w:t>9.0 %</w:t>
            </w:r>
          </w:p>
        </w:tc>
        <w:tc>
          <w:tcPr>
            <w:tcW w:type="dxa" w:w="706"/>
          </w:tcPr>
          <w:p>
            <w:pPr>
              <w:jc w:val="center"/>
              <w:spacing w:line="200" w:lineRule="atLeast" w:after="0"/>
            </w:pPr>
            <w:r/>
            <w:r>
              <w:rPr>
                <w:rFonts w:ascii="바탕" w:eastAsia="바탕" w:hAnsi="바탕"/>
                <w:rFonts w:ascii="바탕" w:hAnsi="바탕"/>
                <w:b w:val="0"/>
                <w:sz w:val="14"/>
              </w:rPr>
              <w:t>0.3786</w:t>
            </w:r>
          </w:p>
        </w:tc>
        <w:tc>
          <w:tcPr>
            <w:tcW w:type="dxa" w:w="706"/>
          </w:tcPr>
          <w:p>
            <w:pPr>
              <w:jc w:val="center"/>
              <w:spacing w:line="200" w:lineRule="atLeast" w:after="0"/>
            </w:pPr>
            <w:r/>
            <w:r>
              <w:rPr>
                <w:rFonts w:ascii="바탕" w:eastAsia="바탕" w:hAnsi="바탕"/>
                <w:rFonts w:ascii="바탕" w:hAnsi="바탕"/>
                <w:b w:val="0"/>
                <w:sz w:val="14"/>
              </w:rPr>
              <w:t>0.011 %</w:t>
            </w:r>
          </w:p>
        </w:tc>
        <w:tc>
          <w:tcPr>
            <w:tcW w:type="dxa" w:w="706"/>
          </w:tcPr>
          <w:p>
            <w:pPr>
              <w:jc w:val="center"/>
              <w:spacing w:line="200" w:lineRule="atLeast" w:after="0"/>
            </w:pPr>
            <w:r/>
            <w:r>
              <w:rPr>
                <w:rFonts w:ascii="바탕" w:eastAsia="바탕" w:hAnsi="바탕"/>
                <w:rFonts w:ascii="바탕" w:hAnsi="바탕"/>
                <w:b w:val="0"/>
                <w:sz w:val="14"/>
              </w:rPr>
              <w:t>0.1868</w:t>
            </w:r>
          </w:p>
        </w:tc>
        <w:tc>
          <w:tcPr>
            <w:tcW w:type="dxa" w:w="677"/>
          </w:tcPr>
          <w:p>
            <w:pPr>
              <w:jc w:val="center"/>
              <w:spacing w:line="200" w:lineRule="atLeast" w:after="0"/>
            </w:pPr>
            <w:r/>
            <w:r>
              <w:rPr>
                <w:rFonts w:ascii="바탕" w:eastAsia="바탕" w:hAnsi="바탕"/>
                <w:rFonts w:ascii="바탕" w:hAnsi="바탕"/>
                <w:b w:val="0"/>
                <w:sz w:val="14"/>
              </w:rPr>
              <w:t>0.493</w:t>
            </w:r>
          </w:p>
        </w:tc>
      </w:tr>
      <w:tr>
        <w:tc>
          <w:tcPr>
            <w:tcW w:type="dxa" w:w="1123"/>
          </w:tcPr>
          <w:p>
            <w:pPr>
              <w:jc w:val="center"/>
              <w:spacing w:line="200" w:lineRule="atLeast" w:after="0"/>
            </w:pPr>
            <w:r/>
            <w:r>
              <w:rPr>
                <w:rFonts w:ascii="바탕" w:eastAsia="바탕" w:hAnsi="바탕"/>
                <w:rFonts w:ascii="바탕" w:hAnsi="바탕"/>
                <w:b w:val="0"/>
                <w:sz w:val="14"/>
              </w:rPr>
              <w:t>Tank 6×6</w:t>
            </w:r>
          </w:p>
        </w:tc>
        <w:tc>
          <w:tcPr>
            <w:tcW w:type="dxa" w:w="706"/>
          </w:tcPr>
          <w:p>
            <w:pPr>
              <w:jc w:val="center"/>
              <w:spacing w:line="200" w:lineRule="atLeast" w:after="0"/>
            </w:pPr>
            <w:r/>
            <w:r>
              <w:rPr>
                <w:rFonts w:ascii="바탕" w:eastAsia="바탕" w:hAnsi="바탕"/>
                <w:rFonts w:ascii="바탕" w:hAnsi="바탕"/>
                <w:b w:val="0"/>
                <w:sz w:val="14"/>
              </w:rPr>
              <w:t>13.5 %</w:t>
            </w:r>
          </w:p>
        </w:tc>
        <w:tc>
          <w:tcPr>
            <w:tcW w:type="dxa" w:w="706"/>
          </w:tcPr>
          <w:p>
            <w:pPr>
              <w:jc w:val="center"/>
              <w:spacing w:line="200" w:lineRule="atLeast" w:after="0"/>
            </w:pPr>
            <w:r/>
            <w:r>
              <w:rPr>
                <w:rFonts w:ascii="바탕" w:eastAsia="바탕" w:hAnsi="바탕"/>
                <w:rFonts w:ascii="바탕" w:hAnsi="바탕"/>
                <w:b w:val="0"/>
                <w:sz w:val="14"/>
              </w:rPr>
              <w:t>0.5981</w:t>
            </w:r>
          </w:p>
        </w:tc>
        <w:tc>
          <w:tcPr>
            <w:tcW w:type="dxa" w:w="706"/>
          </w:tcPr>
          <w:p>
            <w:pPr>
              <w:jc w:val="center"/>
              <w:spacing w:line="200" w:lineRule="atLeast" w:after="0"/>
            </w:pPr>
            <w:r/>
            <w:r>
              <w:rPr>
                <w:rFonts w:ascii="바탕" w:eastAsia="바탕" w:hAnsi="바탕"/>
                <w:rFonts w:ascii="바탕" w:hAnsi="바탕"/>
                <w:b w:val="0"/>
                <w:sz w:val="14"/>
              </w:rPr>
              <w:t>0.028 %</w:t>
            </w:r>
          </w:p>
        </w:tc>
        <w:tc>
          <w:tcPr>
            <w:tcW w:type="dxa" w:w="706"/>
          </w:tcPr>
          <w:p>
            <w:pPr>
              <w:jc w:val="center"/>
              <w:spacing w:line="200" w:lineRule="atLeast" w:after="0"/>
            </w:pPr>
            <w:r/>
            <w:r>
              <w:rPr>
                <w:rFonts w:ascii="바탕" w:eastAsia="바탕" w:hAnsi="바탕"/>
                <w:rFonts w:ascii="바탕" w:hAnsi="바탕"/>
                <w:b w:val="0"/>
                <w:sz w:val="14"/>
              </w:rPr>
              <w:t>0.4209</w:t>
            </w:r>
          </w:p>
        </w:tc>
        <w:tc>
          <w:tcPr>
            <w:tcW w:type="dxa" w:w="677"/>
          </w:tcPr>
          <w:p>
            <w:pPr>
              <w:jc w:val="center"/>
              <w:spacing w:line="200" w:lineRule="atLeast" w:after="0"/>
            </w:pPr>
            <w:r/>
            <w:r>
              <w:rPr>
                <w:rFonts w:ascii="바탕" w:eastAsia="바탕" w:hAnsi="바탕"/>
                <w:rFonts w:ascii="바탕" w:hAnsi="바탕"/>
                <w:b w:val="0"/>
                <w:sz w:val="14"/>
              </w:rPr>
              <w:t>0.704</w:t>
            </w:r>
          </w:p>
        </w:tc>
      </w:tr>
      <w:tr>
        <w:tc>
          <w:tcPr>
            <w:tcW w:type="dxa" w:w="1123"/>
          </w:tcPr>
          <w:p>
            <w:pPr>
              <w:jc w:val="center"/>
              <w:spacing w:line="200" w:lineRule="atLeast" w:after="0"/>
            </w:pPr>
            <w:r/>
            <w:r>
              <w:rPr>
                <w:rFonts w:ascii="바탕" w:eastAsia="바탕" w:hAnsi="바탕"/>
                <w:rFonts w:ascii="바탕" w:hAnsi="바탕"/>
                <w:b w:val="0"/>
                <w:sz w:val="14"/>
              </w:rPr>
              <w:t>Tank 8×8</w:t>
            </w:r>
          </w:p>
        </w:tc>
        <w:tc>
          <w:tcPr>
            <w:tcW w:type="dxa" w:w="706"/>
          </w:tcPr>
          <w:p>
            <w:pPr>
              <w:jc w:val="center"/>
              <w:spacing w:line="200" w:lineRule="atLeast" w:after="0"/>
            </w:pPr>
            <w:r/>
            <w:r>
              <w:rPr>
                <w:rFonts w:ascii="바탕" w:eastAsia="바탕" w:hAnsi="바탕"/>
                <w:rFonts w:ascii="바탕" w:hAnsi="바탕"/>
                <w:b w:val="0"/>
                <w:sz w:val="14"/>
              </w:rPr>
              <w:t>18.0 %</w:t>
            </w:r>
          </w:p>
        </w:tc>
        <w:tc>
          <w:tcPr>
            <w:tcW w:type="dxa" w:w="706"/>
          </w:tcPr>
          <w:p>
            <w:pPr>
              <w:jc w:val="center"/>
              <w:spacing w:line="200" w:lineRule="atLeast" w:after="0"/>
            </w:pPr>
            <w:r/>
            <w:r>
              <w:rPr>
                <w:rFonts w:ascii="바탕" w:eastAsia="바탕" w:hAnsi="바탕"/>
                <w:rFonts w:ascii="바탕" w:hAnsi="바탕"/>
                <w:b w:val="0"/>
                <w:sz w:val="14"/>
              </w:rPr>
              <w:t>0.7474</w:t>
            </w:r>
          </w:p>
        </w:tc>
        <w:tc>
          <w:tcPr>
            <w:tcW w:type="dxa" w:w="706"/>
          </w:tcPr>
          <w:p>
            <w:pPr>
              <w:jc w:val="center"/>
              <w:spacing w:line="200" w:lineRule="atLeast" w:after="0"/>
            </w:pPr>
            <w:r/>
            <w:r>
              <w:rPr>
                <w:rFonts w:ascii="바탕" w:eastAsia="바탕" w:hAnsi="바탕"/>
                <w:rFonts w:ascii="바탕" w:hAnsi="바탕"/>
                <w:b w:val="0"/>
                <w:sz w:val="14"/>
              </w:rPr>
              <w:t>0.810 %</w:t>
            </w:r>
          </w:p>
        </w:tc>
        <w:tc>
          <w:tcPr>
            <w:tcW w:type="dxa" w:w="706"/>
          </w:tcPr>
          <w:p>
            <w:pPr>
              <w:jc w:val="center"/>
              <w:spacing w:line="200" w:lineRule="atLeast" w:after="0"/>
            </w:pPr>
            <w:r/>
            <w:r>
              <w:rPr>
                <w:rFonts w:ascii="바탕" w:eastAsia="바탕" w:hAnsi="바탕"/>
                <w:rFonts w:ascii="바탕" w:hAnsi="바탕"/>
                <w:b w:val="0"/>
                <w:sz w:val="14"/>
              </w:rPr>
              <w:t>0.5699</w:t>
            </w:r>
          </w:p>
        </w:tc>
        <w:tc>
          <w:tcPr>
            <w:tcW w:type="dxa" w:w="677"/>
          </w:tcPr>
          <w:p>
            <w:pPr>
              <w:jc w:val="center"/>
              <w:spacing w:line="200" w:lineRule="atLeast" w:after="0"/>
            </w:pPr>
            <w:r/>
            <w:r>
              <w:rPr>
                <w:rFonts w:ascii="바탕" w:eastAsia="바탕" w:hAnsi="바탕"/>
                <w:rFonts w:ascii="바탕" w:hAnsi="바탕"/>
                <w:b w:val="0"/>
                <w:sz w:val="14"/>
              </w:rPr>
              <w:t>0.763</w:t>
            </w:r>
          </w:p>
        </w:tc>
      </w:tr>
      <w:tr>
        <w:tc>
          <w:tcPr>
            <w:tcW w:type="dxa" w:w="1123"/>
          </w:tcPr>
          <w:p>
            <w:pPr>
              <w:jc w:val="center"/>
              <w:spacing w:line="200" w:lineRule="atLeast" w:after="0"/>
            </w:pPr>
            <w:r/>
            <w:r>
              <w:rPr>
                <w:rFonts w:ascii="바탕" w:eastAsia="바탕" w:hAnsi="바탕"/>
                <w:rFonts w:ascii="바탕" w:hAnsi="바탕"/>
                <w:b w:val="0"/>
                <w:sz w:val="14"/>
              </w:rPr>
              <w:t>TEL 10×10</w:t>
            </w:r>
          </w:p>
        </w:tc>
        <w:tc>
          <w:tcPr>
            <w:tcW w:type="dxa" w:w="706"/>
          </w:tcPr>
          <w:p>
            <w:pPr>
              <w:jc w:val="center"/>
              <w:spacing w:line="200" w:lineRule="atLeast" w:after="0"/>
            </w:pPr>
            <w:r/>
            <w:r>
              <w:rPr>
                <w:rFonts w:ascii="바탕" w:eastAsia="바탕" w:hAnsi="바탕"/>
                <w:rFonts w:ascii="바탕" w:hAnsi="바탕"/>
                <w:b w:val="0"/>
                <w:sz w:val="14"/>
              </w:rPr>
              <w:t>20.1 %</w:t>
            </w:r>
          </w:p>
        </w:tc>
        <w:tc>
          <w:tcPr>
            <w:tcW w:type="dxa" w:w="706"/>
          </w:tcPr>
          <w:p>
            <w:pPr>
              <w:jc w:val="center"/>
              <w:spacing w:line="200" w:lineRule="atLeast" w:after="0"/>
            </w:pPr>
            <w:r/>
            <w:r>
              <w:rPr>
                <w:rFonts w:ascii="바탕" w:eastAsia="바탕" w:hAnsi="바탕"/>
                <w:rFonts w:ascii="바탕" w:hAnsi="바탕"/>
                <w:b w:val="0"/>
                <w:sz w:val="14"/>
              </w:rPr>
              <w:t>0.7283</w:t>
            </w:r>
          </w:p>
        </w:tc>
        <w:tc>
          <w:tcPr>
            <w:tcW w:type="dxa" w:w="706"/>
          </w:tcPr>
          <w:p>
            <w:pPr>
              <w:jc w:val="center"/>
              <w:spacing w:line="200" w:lineRule="atLeast" w:after="0"/>
            </w:pPr>
            <w:r/>
            <w:r>
              <w:rPr>
                <w:rFonts w:ascii="바탕" w:eastAsia="바탕" w:hAnsi="바탕"/>
                <w:rFonts w:ascii="바탕" w:hAnsi="바탕"/>
                <w:b w:val="0"/>
                <w:sz w:val="14"/>
              </w:rPr>
              <w:t>0.807 %</w:t>
            </w:r>
          </w:p>
        </w:tc>
        <w:tc>
          <w:tcPr>
            <w:tcW w:type="dxa" w:w="706"/>
          </w:tcPr>
          <w:p>
            <w:pPr>
              <w:jc w:val="center"/>
              <w:spacing w:line="200" w:lineRule="atLeast" w:after="0"/>
            </w:pPr>
            <w:r/>
            <w:r>
              <w:rPr>
                <w:rFonts w:ascii="바탕" w:eastAsia="바탕" w:hAnsi="바탕"/>
                <w:rFonts w:ascii="바탕" w:hAnsi="바탕"/>
                <w:b w:val="0"/>
                <w:sz w:val="14"/>
              </w:rPr>
              <w:t>0.6009</w:t>
            </w:r>
          </w:p>
        </w:tc>
        <w:tc>
          <w:tcPr>
            <w:tcW w:type="dxa" w:w="677"/>
          </w:tcPr>
          <w:p>
            <w:pPr>
              <w:jc w:val="center"/>
              <w:spacing w:line="200" w:lineRule="atLeast" w:after="0"/>
            </w:pPr>
            <w:r/>
            <w:r>
              <w:rPr>
                <w:rFonts w:ascii="바탕" w:eastAsia="바탕" w:hAnsi="바탕"/>
                <w:rFonts w:ascii="바탕" w:hAnsi="바탕"/>
                <w:b w:val="0"/>
                <w:sz w:val="14"/>
              </w:rPr>
              <w:t>0.825</w:t>
            </w:r>
          </w:p>
        </w:tc>
      </w:tr>
      <w:tr>
        <w:tc>
          <w:tcPr>
            <w:tcW w:type="dxa" w:w="1123"/>
          </w:tcPr>
          <w:p>
            <w:pPr>
              <w:jc w:val="center"/>
              <w:spacing w:line="200" w:lineRule="atLeast" w:after="0"/>
            </w:pPr>
            <w:r/>
            <w:r>
              <w:rPr>
                <w:rFonts w:ascii="바탕" w:eastAsia="바탕" w:hAnsi="바탕"/>
                <w:rFonts w:ascii="바탕" w:hAnsi="바탕"/>
                <w:b w:val="0"/>
                <w:sz w:val="14"/>
              </w:rPr>
              <w:t>Tank 10×10</w:t>
            </w:r>
          </w:p>
        </w:tc>
        <w:tc>
          <w:tcPr>
            <w:tcW w:type="dxa" w:w="706"/>
          </w:tcPr>
          <w:p>
            <w:pPr>
              <w:jc w:val="center"/>
              <w:spacing w:line="200" w:lineRule="atLeast" w:after="0"/>
            </w:pPr>
            <w:r/>
            <w:r>
              <w:rPr>
                <w:rFonts w:ascii="바탕" w:eastAsia="바탕" w:hAnsi="바탕"/>
                <w:rFonts w:ascii="바탕" w:hAnsi="바탕"/>
                <w:b w:val="0"/>
                <w:sz w:val="14"/>
              </w:rPr>
              <w:t>22.5 %</w:t>
            </w:r>
          </w:p>
        </w:tc>
        <w:tc>
          <w:tcPr>
            <w:tcW w:type="dxa" w:w="706"/>
          </w:tcPr>
          <w:p>
            <w:pPr>
              <w:jc w:val="center"/>
              <w:spacing w:line="200" w:lineRule="atLeast" w:after="0"/>
            </w:pPr>
            <w:r/>
            <w:r>
              <w:rPr>
                <w:rFonts w:ascii="바탕" w:eastAsia="바탕" w:hAnsi="바탕"/>
                <w:rFonts w:ascii="바탕" w:hAnsi="바탕"/>
                <w:b w:val="0"/>
                <w:sz w:val="14"/>
              </w:rPr>
              <w:t>0.7971</w:t>
            </w:r>
          </w:p>
        </w:tc>
        <w:tc>
          <w:tcPr>
            <w:tcW w:type="dxa" w:w="706"/>
          </w:tcPr>
          <w:p>
            <w:pPr>
              <w:jc w:val="center"/>
              <w:spacing w:line="200" w:lineRule="atLeast" w:after="0"/>
            </w:pPr>
            <w:r/>
            <w:r>
              <w:rPr>
                <w:rFonts w:ascii="바탕" w:eastAsia="바탕" w:hAnsi="바탕"/>
                <w:rFonts w:ascii="바탕" w:hAnsi="바탕"/>
                <w:b w:val="0"/>
                <w:sz w:val="14"/>
              </w:rPr>
              <w:t>0.962 %</w:t>
            </w:r>
          </w:p>
        </w:tc>
        <w:tc>
          <w:tcPr>
            <w:tcW w:type="dxa" w:w="706"/>
          </w:tcPr>
          <w:p>
            <w:pPr>
              <w:jc w:val="center"/>
              <w:spacing w:line="200" w:lineRule="atLeast" w:after="0"/>
            </w:pPr>
            <w:r/>
            <w:r>
              <w:rPr>
                <w:rFonts w:ascii="바탕" w:eastAsia="바탕" w:hAnsi="바탕"/>
                <w:rFonts w:ascii="바탕" w:hAnsi="바탕"/>
                <w:b w:val="0"/>
                <w:sz w:val="14"/>
              </w:rPr>
              <w:t>0.6459</w:t>
            </w:r>
          </w:p>
        </w:tc>
        <w:tc>
          <w:tcPr>
            <w:tcW w:type="dxa" w:w="677"/>
          </w:tcPr>
          <w:p>
            <w:pPr>
              <w:jc w:val="center"/>
              <w:spacing w:line="200" w:lineRule="atLeast" w:after="0"/>
            </w:pPr>
            <w:r/>
            <w:r>
              <w:rPr>
                <w:rFonts w:ascii="바탕" w:eastAsia="바탕" w:hAnsi="바탕"/>
                <w:rFonts w:ascii="바탕" w:hAnsi="바탕"/>
                <w:b w:val="0"/>
                <w:sz w:val="14"/>
              </w:rPr>
              <w:t>0.810</w:t>
            </w:r>
          </w:p>
        </w:tc>
      </w:tr>
    </w:tbl>
    <w:p>
      <w:pPr>
        <w:spacing w:line="100" w:lineRule="atLeast" w:after="0"/>
        <w:jc w:val="both"/>
      </w:pPr>
    </w:p>
    <w:p>
      <w:pPr>
        <w:spacing w:line="240" w:lineRule="atLeast" w:after="0"/>
        <w:ind w:firstLineChars="100" w:firstLine="180"/>
        <w:jc w:val="both"/>
      </w:pPr>
      <w:r>
        <w:rPr>
          <w:rFonts w:ascii="바탕" w:hAnsi="바탕" w:eastAsia="바탕"/>
          <w:b w:val="0"/>
          <w:sz w:val="18"/>
        </w:rPr>
        <w:t>차이는 모든 조건에서 같은 방향이며 셀 모형이 탐지확률을 높게 본다. 그 차이는 최적성 간격과 무관하다. 간격이 가장 작은 조건에서 차이가 가장 컸고 가장 큰 조건에서 오히려 작아 상관은 −0.69였고, 차이의 비는 탐지폭 대 셀 한 변의 비에 단조 증가하여 +0.94였다. 간격이 작다는 것은 모형을 잘 풀었다는 뜻이지 모형이 현실에 가깝다는 뜻이 아니다. 같은 인스턴스에서 서로 다른 계산 조건으로 얻은 다섯 계획을 공통 난수로 채점하였을 때, 셀 모형이 최선으로 지목한 계획은 연속 모형에서 3위였고 연속 모형의 최선은 셀 모형 기준 4위였다. 짝지은 표준오차의 20배를 넘는 차이라 표집 변동으로 설명되지 않는다.</w:t>
      </w:r>
    </w:p>
    <w:p>
      <w:pPr>
        <w:spacing w:line="240" w:lineRule="atLeast" w:after="0"/>
        <w:ind w:firstLineChars="100" w:firstLine="180"/>
        <w:jc w:val="both"/>
      </w:pPr>
      <w:r>
        <w:rPr>
          <w:rFonts w:ascii="바탕" w:hAnsi="바탕" w:eastAsia="바탕"/>
          <w:b w:val="0"/>
          <w:sz w:val="18"/>
        </w:rPr>
        <w:t>Fig. 3의 아래쪽은 같은 계획의 단계별 점유다. 경로를 겹쳐 그리면 서로 다른 시각의 통과가 동시 점유처럼 보이나, 단계로 분리하면 동일 시점 동일 셀·동일 간선·정면 교환의 위반이 모두 0건임이 드러난다. 확률 질량이 몇 셀에 몰린 조건에서는 이동보다 체류가 더 많은 소인을 쌓아 제자리 호의 비율이 70 %에 이른다.</w:t>
      </w:r>
    </w:p>
    <w:p>
      <w:pPr>
        <w:spacing w:line="240" w:lineRule="atLeast" w:after="0"/>
        <w:ind w:firstLineChars="100" w:firstLine="180"/>
        <w:jc w:val="both"/>
      </w:pPr>
      <w:r>
        <w:rPr>
          <w:rFonts w:ascii="바탕" w:hAnsi="바탕" w:eastAsia="바탕"/>
          <w:b w:val="0"/>
          <w:sz w:val="18"/>
        </w:rPr>
        <w:t>동시에 이 그림은 위 한계를 드러낸다. 탐지폭이 셀 한 변의 18 %뿐이므로 한 셀의 hazard가 셀 전체에 균일하다는 전제는 이 규모에서 성립하지 않는다. 인증에도 실행 의존적 변동이 있어 동일 조건 재실행에서 간격이 2.19 %p, 입자 표본 교체에서 탐지확률이 0.005~0.010 변동하였다.</w:t>
      </w:r>
    </w:p>
    <w:p>
      <w:pPr>
        <w:spacing w:line="80" w:lineRule="atLeast" w:after="0"/>
        <w:jc w:val="both"/>
      </w:pPr>
    </w:p>
    <w:p>
      <w:pPr>
        <w:jc w:val="center"/>
      </w:pPr>
      <w:r>
        <w:drawing>
          <wp:inline xmlns:a="http://schemas.openxmlformats.org/drawingml/2006/main" xmlns:pic="http://schemas.openxmlformats.org/drawingml/2006/picture">
            <wp:extent cx="2852928" cy="2121731"/>
            <wp:docPr id="3" name="Picture 3"/>
            <wp:cNvGraphicFramePr>
              <a:graphicFrameLocks noChangeAspect="1"/>
            </wp:cNvGraphicFramePr>
            <a:graphic>
              <a:graphicData uri="http://schemas.openxmlformats.org/drawingml/2006/picture">
                <pic:pic>
                  <pic:nvPicPr>
                    <pic:cNvPr id="0" name="fig13_cells_and_steps.png"/>
                    <pic:cNvPicPr/>
                  </pic:nvPicPr>
                  <pic:blipFill>
                    <a:blip r:embed="rId15"/>
                    <a:stretch>
                      <a:fillRect/>
                    </a:stretch>
                  </pic:blipFill>
                  <pic:spPr>
                    <a:xfrm>
                      <a:off x="0" y="0"/>
                      <a:ext cx="2852928" cy="2121731"/>
                    </a:xfrm>
                    <a:prstGeom prst="rect"/>
                  </pic:spPr>
                </pic:pic>
              </a:graphicData>
            </a:graphic>
          </wp:inline>
        </w:drawing>
      </w:r>
    </w:p>
    <w:p>
      <w:pPr>
        <w:spacing w:line="220" w:lineRule="atLeast" w:after="0"/>
        <w:jc w:val="center"/>
      </w:pPr>
      <w:r>
        <w:rPr>
          <w:rFonts w:ascii="돋움" w:hAnsi="돋움" w:eastAsia="돋움"/>
          <w:b w:val="0"/>
          <w:sz w:val="16"/>
        </w:rPr>
        <w:t>Fig. 3. Cell-level weights (top) and planned occupancy by step (bottom)</w:t>
      </w:r>
    </w:p>
    <w:p>
      <w:pPr>
        <w:spacing w:line="100" w:lineRule="atLeast" w:after="0"/>
        <w:jc w:val="both"/>
      </w:pPr>
    </w:p>
    <w:p>
      <w:pPr>
        <w:spacing w:line="260" w:lineRule="atLeast" w:after="0"/>
        <w:jc w:val="left"/>
      </w:pPr>
      <w:r>
        <w:rPr>
          <w:rFonts w:ascii="돋움" w:hAnsi="돋움" w:eastAsia="돋움"/>
          <w:b/>
          <w:sz w:val="18"/>
        </w:rPr>
        <w:t>3. 결 론</w:t>
      </w:r>
    </w:p>
    <w:p>
      <w:pPr>
        <w:spacing w:line="240" w:lineRule="atLeast" w:after="0"/>
        <w:ind w:firstLineChars="100" w:firstLine="180"/>
        <w:jc w:val="both"/>
      </w:pPr>
      <w:r>
        <w:rPr>
          <w:rFonts w:ascii="바탕" w:hAnsi="바탕" w:eastAsia="바탕"/>
          <w:b w:val="0"/>
          <w:sz w:val="18"/>
        </w:rPr>
        <w:t>본 논문에서는 경로 제약을 갖는 다중 무인기의 이동표적 탐지 경로계획을 확률적 탐색이론 위에 구성하고, 외부 근사 절단평면법으로 계획과 최적성 간격을 산출하였으며, 연속 공간 평가기로 모형과 현실의 거리를 따로 측정하였다. 이산화는 자유 변수가 아니며 셀 크기가 단계 수를 정한다. 최적성 간격은 인증 기준과 같은 크기의 변동을 가져 기준 부근의 판정을 단일 실행으로 확정할 수 없고, 간격과 모형 충실도는 서로 독립이다.</w:t>
      </w:r>
    </w:p>
    <w:p>
      <w:pPr>
        <w:spacing w:line="240" w:lineRule="atLeast" w:after="0"/>
        <w:ind w:firstLineChars="100" w:firstLine="180"/>
        <w:jc w:val="both"/>
      </w:pPr>
      <w:r>
        <w:rPr>
          <w:rFonts w:ascii="바탕" w:hAnsi="바탕" w:eastAsia="바탕"/>
          <w:b w:val="0"/>
          <w:sz w:val="18"/>
        </w:rPr>
        <w:t>향후 과제는 2.3절의 가정에 대응한다. 확률 질량이 몰린 영역만 세분하는 적응적 격자와, 셀 내부의 소인 기하를 목적함수에 반영하는 정식화가 후보다. 표적이 탐색자를 인지한다고 보면 문제는 이인 영합 게임이 되어 최소최대 구조를 확장해 다룰 수 있다. 정적 계획에는 belief 갱신을 반영하는 재계획이 자연스러우나 매 시점 혼합정수계획을 푸는 방식은 실시간 제약에 맞지 않으므로, 다중 에이전트 강화학습으로 정책을 미리 학습하는 접근이 의미를 가진다. 그 잣대는 셀 모형이 아니라 연속 공간 평가여야 한다.</w:t>
      </w:r>
    </w:p>
    <w:p>
      <w:pPr>
        <w:spacing w:line="260" w:lineRule="atLeast" w:after="0"/>
        <w:jc w:val="left"/>
      </w:pPr>
      <w:r>
        <w:rPr>
          <w:rFonts w:ascii="돋움" w:hAnsi="돋움" w:eastAsia="돋움"/>
          <w:b/>
          <w:sz w:val="18"/>
        </w:rPr>
        <w:t>References</w:t>
      </w:r>
    </w:p>
    <w:p>
      <w:pPr>
        <w:spacing w:line="160" w:lineRule="atLeast" w:after="0"/>
        <w:jc w:val="both"/>
      </w:pPr>
      <w:r>
        <w:rPr>
          <w:rFonts w:ascii="바탕" w:hAnsi="바탕" w:eastAsia="바탕"/>
          <w:b w:val="0"/>
          <w:sz w:val="14"/>
        </w:rPr>
        <w:t>[1] L. D. Stone, J. O. Royset and A. R. Washburn, “Optimal Search for Moving Targets,” Springer, Cham, 2016.</w:t>
      </w:r>
    </w:p>
    <w:p>
      <w:pPr>
        <w:spacing w:line="160" w:lineRule="atLeast" w:after="0"/>
        <w:jc w:val="both"/>
      </w:pPr>
      <w:r>
        <w:rPr>
          <w:rFonts w:ascii="바탕" w:hAnsi="바탕" w:eastAsia="바탕"/>
          <w:b w:val="0"/>
          <w:sz w:val="14"/>
        </w:rPr>
        <w:t>[2] J. N. Eagle and J. R. Yee, “An Optimal Branch-and-Bound Procedure for the Constrained Path, Moving Target Search Problem,” Oper. Res., Vol. 38, No. 1, pp. 110-114, 1990.</w:t>
      </w:r>
    </w:p>
    <w:p>
      <w:pPr>
        <w:spacing w:line="160" w:lineRule="atLeast" w:after="0"/>
        <w:jc w:val="both"/>
      </w:pPr>
      <w:r>
        <w:rPr>
          <w:rFonts w:ascii="바탕" w:hAnsi="바탕" w:eastAsia="바탕"/>
          <w:b w:val="0"/>
          <w:sz w:val="14"/>
        </w:rPr>
        <w:t>[3] K. E. Trummel and J. R. Weisinger, “The Complexity of the Optimal Searcher Path Problem,” Oper. Res., 34(2), pp. 324-327, 1986.</w:t>
      </w:r>
    </w:p>
    <w:p>
      <w:pPr>
        <w:spacing w:line="160" w:lineRule="atLeast" w:after="0"/>
        <w:jc w:val="both"/>
      </w:pPr>
      <w:r>
        <w:rPr>
          <w:rFonts w:ascii="바탕" w:hAnsi="바탕" w:eastAsia="바탕"/>
          <w:b w:val="0"/>
          <w:sz w:val="14"/>
        </w:rPr>
        <w:t>[4] J. E. Kelley, Jr., “The Cutting-Plane Method for Solving Convex Programs,” J. SIAM, Vol. 8, No. 4, pp. 703-712, 1960.</w:t>
      </w:r>
    </w:p>
    <w:p>
      <w:pPr>
        <w:spacing w:line="160" w:lineRule="atLeast" w:after="0"/>
        <w:jc w:val="both"/>
      </w:pPr>
      <w:r>
        <w:rPr>
          <w:rFonts w:ascii="바탕" w:hAnsi="바탕" w:eastAsia="바탕"/>
          <w:b w:val="0"/>
          <w:sz w:val="14"/>
        </w:rPr>
        <w:t>[5] M. A. Duran and I. E. Grossmann, “An Outer-Approximation Algorithm for a Class of Mixed-Integer Nonlinear Programs,” Math. Program., Vol. 36, No. 3, pp. 307-339, 1986.</w:t>
      </w:r>
    </w:p>
    <w:p>
      <w:pPr>
        <w:spacing w:line="160" w:lineRule="atLeast" w:after="0"/>
        <w:jc w:val="both"/>
      </w:pPr>
      <w:r>
        <w:rPr>
          <w:rFonts w:ascii="바탕" w:hAnsi="바탕" w:eastAsia="바탕"/>
          <w:b w:val="0"/>
          <w:sz w:val="14"/>
        </w:rPr>
        <w:t>[6] J. O. Royset and H. Sato, “Route Optimization for Multiple Searchers,” Naval Res. Logist., Vol. 57, No. 8, pp. 701-717, 2010.</w:t>
      </w:r>
    </w:p>
    <w:p>
      <w:pPr>
        <w:spacing w:line="160" w:lineRule="atLeast" w:after="0"/>
        <w:jc w:val="both"/>
      </w:pPr>
      <w:r>
        <w:rPr>
          <w:rFonts w:ascii="바탕" w:hAnsi="바탕" w:eastAsia="바탕"/>
          <w:b w:val="0"/>
          <w:sz w:val="14"/>
        </w:rPr>
        <w:t>[7] S. S. Brown, “Optimal Search for a Moving Target in Discrete Time and Space,” Oper. Res., Vol. 28, No. 6, pp. 1275-1289, 1980.</w:t>
      </w:r>
    </w:p>
    <w:p>
      <w:pPr>
        <w:spacing w:line="160" w:lineRule="atLeast" w:after="0"/>
        <w:jc w:val="both"/>
      </w:pPr>
      <w:r>
        <w:rPr>
          <w:rFonts w:ascii="바탕" w:hAnsi="바탕" w:eastAsia="바탕"/>
          <w:b w:val="0"/>
          <w:sz w:val="14"/>
        </w:rPr>
        <w:t>[8] Q. Huangfu and J. A. J. Hall, “Parallelizing the Dual Revised Simplex Method,” Math. Program. Comput., 10(1), pp. 119-142, 2018.</w:t>
      </w:r>
    </w:p>
    <w:sectPr w:rsidR="003D4B08" w:rsidSect="00E13C00">
      <w:headerReference w:type="even" r:id="rId7"/>
      <w:headerReference w:type="default" r:id="rId8"/>
      <w:footerReference w:type="even" r:id="rId9"/>
      <w:footerReference w:type="default" r:id="rId10"/>
      <w:pgSz w:w="11906" w:h="16838" w:code="9"/>
      <w:pgMar w:top="1418" w:right="1134" w:bottom="1418" w:left="1134" w:header="692" w:footer="692" w:gutter="0"/>
      <w:cols w:num="2" w:space="397"/>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C19E33" w14:textId="77777777" w:rsidR="0083265C" w:rsidRDefault="0083265C">
      <w:pPr>
        <w:spacing w:line="240" w:lineRule="auto"/>
      </w:pPr>
      <w:r>
        <w:separator/>
      </w:r>
    </w:p>
  </w:endnote>
  <w:endnote w:type="continuationSeparator" w:id="0">
    <w:p w14:paraId="0287A2E1" w14:textId="77777777" w:rsidR="0083265C" w:rsidRDefault="008326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신명조체">
    <w:altName w:val="HY그래픽M"/>
    <w:charset w:val="81"/>
    <w:family w:val="roman"/>
    <w:pitch w:val="variable"/>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신명조">
    <w:altName w:val="굴림"/>
    <w:charset w:val="81"/>
    <w:family w:val="auto"/>
    <w:pitch w:val="default"/>
    <w:sig w:usb0="00000001" w:usb1="09060000" w:usb2="00000010" w:usb3="00000000" w:csb0="00080000" w:csb1="00000000"/>
  </w:font>
  <w:font w:name="한양신명조">
    <w:altName w:val="바탕"/>
    <w:charset w:val="81"/>
    <w:family w:val="roman"/>
    <w:pitch w:val="default"/>
    <w:sig w:usb0="00000001" w:usb1="09060000"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0D0D5" w14:textId="77777777" w:rsidR="00426120" w:rsidRDefault="00426120">
    <w:pPr>
      <w:pStyle w:val="ac"/>
      <w:snapToGrid/>
      <w:spacing w:line="240" w:lineRule="auto"/>
      <w:rPr>
        <w:rFonts w:ascii="돋움" w:eastAsia="돋움" w:hAnsi="돋움"/>
        <w:b/>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EEB27D" w14:textId="77777777" w:rsidR="00426120" w:rsidRDefault="0098151A">
    <w:pPr>
      <w:pStyle w:val="ac"/>
      <w:tabs>
        <w:tab w:val="clear" w:pos="9026"/>
      </w:tabs>
      <w:snapToGrid/>
      <w:spacing w:line="240" w:lineRule="auto"/>
      <w:jc w:val="center"/>
      <w:rPr>
        <w:rFonts w:ascii="돋움" w:eastAsia="돋움" w:hAnsi="돋움"/>
        <w:b/>
        <w:sz w:val="18"/>
        <w:szCs w:val="18"/>
      </w:rPr>
    </w:pPr>
    <w:r>
      <w:rPr>
        <w:rStyle w:val="af"/>
        <w:rFonts w:ascii="돋움" w:eastAsia="돋움" w:hAnsi="돋움" w:hint="eastAsia"/>
        <w:b/>
        <w:sz w:val="18"/>
        <w:szCs w:val="18"/>
      </w:rPr>
      <w:fldChar w:fldCharType="begin"/>
    </w:r>
    <w:r>
      <w:rPr>
        <w:rStyle w:val="af"/>
        <w:rFonts w:ascii="돋움" w:eastAsia="돋움" w:hAnsi="돋움" w:hint="eastAsia"/>
        <w:b/>
        <w:sz w:val="18"/>
        <w:szCs w:val="18"/>
      </w:rPr>
      <w:instrText xml:space="preserve"> PAGE </w:instrText>
    </w:r>
    <w:r>
      <w:rPr>
        <w:rStyle w:val="af"/>
        <w:rFonts w:ascii="돋움" w:eastAsia="돋움" w:hAnsi="돋움" w:hint="eastAsia"/>
        <w:b/>
        <w:sz w:val="18"/>
        <w:szCs w:val="18"/>
      </w:rPr>
      <w:fldChar w:fldCharType="separate"/>
    </w:r>
    <w:r w:rsidR="008D780C">
      <w:rPr>
        <w:rStyle w:val="af"/>
        <w:rFonts w:ascii="돋움" w:eastAsia="돋움" w:hAnsi="돋움"/>
        <w:b/>
        <w:noProof/>
        <w:sz w:val="18"/>
        <w:szCs w:val="18"/>
      </w:rPr>
      <w:t>2</w:t>
    </w:r>
    <w:r>
      <w:rPr>
        <w:rStyle w:val="af"/>
        <w:rFonts w:ascii="돋움" w:eastAsia="돋움" w:hAnsi="돋움" w:hint="eastAsia"/>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6D6DEA" w14:textId="77777777" w:rsidR="0083265C" w:rsidRDefault="0083265C">
      <w:pPr>
        <w:spacing w:line="240" w:lineRule="auto"/>
      </w:pPr>
      <w:r>
        <w:separator/>
      </w:r>
    </w:p>
  </w:footnote>
  <w:footnote w:type="continuationSeparator" w:id="0">
    <w:p w14:paraId="5A497956" w14:textId="77777777" w:rsidR="0083265C" w:rsidRDefault="008326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14B93" w14:textId="77777777" w:rsidR="00426120" w:rsidRDefault="00426120">
    <w:pPr>
      <w:pStyle w:val="ae"/>
      <w:tabs>
        <w:tab w:val="right" w:pos="9631"/>
      </w:tabs>
      <w:autoSpaceDE w:val="0"/>
      <w:autoSpaceDN w:val="0"/>
      <w:snapToGrid w:val="0"/>
      <w:spacing w:before="0" w:beforeAutospacing="0" w:after="0" w:afterAutospacing="0" w:line="80" w:lineRule="exact"/>
      <w:rPr>
        <w:rFonts w:ascii="돋움" w:eastAsia="돋움" w:hAnsi="돋움"/>
        <w:b/>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95177" w14:textId="76F4303B" w:rsidR="005D2AA0" w:rsidRPr="009A148A" w:rsidRDefault="005D2AA0" w:rsidP="005D2AA0">
    <w:pPr>
      <w:pStyle w:val="ae"/>
      <w:tabs>
        <w:tab w:val="right" w:pos="9631"/>
      </w:tabs>
      <w:autoSpaceDE w:val="0"/>
      <w:autoSpaceDN w:val="0"/>
      <w:adjustRightInd w:val="0"/>
      <w:snapToGrid w:val="0"/>
      <w:spacing w:before="0" w:beforeAutospacing="0" w:after="0" w:afterAutospacing="0" w:line="200" w:lineRule="exact"/>
      <w:jc w:val="both"/>
      <w:rPr>
        <w:rFonts w:ascii="돋움" w:eastAsia="돋움" w:hAnsi="돋움"/>
        <w:b/>
        <w:snapToGrid w:val="0"/>
        <w:sz w:val="17"/>
        <w:szCs w:val="17"/>
      </w:rPr>
    </w:pPr>
    <w:r w:rsidRPr="009A148A">
      <w:rPr>
        <w:rFonts w:ascii="돋움" w:eastAsia="돋움" w:hAnsi="돋움" w:hint="eastAsia"/>
        <w:b/>
        <w:snapToGrid w:val="0"/>
        <w:sz w:val="17"/>
        <w:szCs w:val="17"/>
      </w:rPr>
      <w:t>20</w:t>
    </w:r>
    <w:r>
      <w:rPr>
        <w:rFonts w:ascii="돋움" w:eastAsia="돋움" w:hAnsi="돋움"/>
        <w:b/>
        <w:snapToGrid w:val="0"/>
        <w:sz w:val="17"/>
        <w:szCs w:val="17"/>
      </w:rPr>
      <w:t>2</w:t>
    </w:r>
    <w:r w:rsidR="00FB0D7E">
      <w:rPr>
        <w:rFonts w:ascii="돋움" w:eastAsia="돋움" w:hAnsi="돋움"/>
        <w:b/>
        <w:snapToGrid w:val="0"/>
        <w:sz w:val="17"/>
        <w:szCs w:val="17"/>
      </w:rPr>
      <w:t>6</w:t>
    </w:r>
    <w:r w:rsidRPr="009A148A">
      <w:rPr>
        <w:rFonts w:ascii="돋움" w:eastAsia="돋움" w:hAnsi="돋움" w:hint="eastAsia"/>
        <w:b/>
        <w:snapToGrid w:val="0"/>
        <w:sz w:val="17"/>
        <w:szCs w:val="17"/>
      </w:rPr>
      <w:t xml:space="preserve"> 한국군사과학기술학회 </w:t>
    </w:r>
    <w:proofErr w:type="gramStart"/>
    <w:r>
      <w:rPr>
        <w:rFonts w:ascii="돋움" w:eastAsia="돋움" w:hAnsi="돋움" w:hint="eastAsia"/>
        <w:b/>
        <w:snapToGrid w:val="0"/>
        <w:sz w:val="17"/>
        <w:szCs w:val="17"/>
      </w:rPr>
      <w:t>추계</w:t>
    </w:r>
    <w:r w:rsidRPr="009A148A">
      <w:rPr>
        <w:rFonts w:ascii="돋움" w:eastAsia="돋움" w:hAnsi="돋움" w:hint="eastAsia"/>
        <w:b/>
        <w:snapToGrid w:val="0"/>
        <w:sz w:val="17"/>
        <w:szCs w:val="17"/>
      </w:rPr>
      <w:t>학술대회</w:t>
    </w:r>
    <w:r>
      <w:rPr>
        <w:rFonts w:ascii="돋움" w:eastAsia="돋움" w:hAnsi="돋움" w:hint="eastAsia"/>
        <w:b/>
        <w:snapToGrid w:val="0"/>
        <w:sz w:val="17"/>
        <w:szCs w:val="17"/>
      </w:rPr>
      <w:t xml:space="preserve"> :</w:t>
    </w:r>
    <w:proofErr w:type="gramEnd"/>
    <w:r w:rsidRPr="009A148A">
      <w:rPr>
        <w:rFonts w:ascii="돋움" w:eastAsia="돋움" w:hAnsi="돋움" w:hint="eastAsia"/>
        <w:b/>
        <w:snapToGrid w:val="0"/>
        <w:sz w:val="17"/>
        <w:szCs w:val="17"/>
      </w:rPr>
      <w:t xml:space="preserve"> ○○○○</w:t>
    </w:r>
    <w:r>
      <w:rPr>
        <w:rFonts w:ascii="돋움" w:eastAsia="돋움" w:hAnsi="돋움" w:hint="eastAsia"/>
        <w:b/>
        <w:snapToGrid w:val="0"/>
        <w:sz w:val="17"/>
        <w:szCs w:val="17"/>
      </w:rPr>
      <w:t>체계</w:t>
    </w:r>
    <w:r w:rsidRPr="009A148A">
      <w:rPr>
        <w:rFonts w:ascii="돋움" w:eastAsia="돋움" w:hAnsi="돋움" w:hint="eastAsia"/>
        <w:b/>
        <w:snapToGrid w:val="0"/>
        <w:sz w:val="17"/>
        <w:szCs w:val="17"/>
      </w:rPr>
      <w:tab/>
    </w:r>
    <w:r w:rsidRPr="00BD164B">
      <w:rPr>
        <w:rFonts w:ascii="돋움" w:eastAsia="돋움" w:hAnsi="돋움"/>
        <w:b/>
        <w:snapToGrid w:val="0"/>
        <w:sz w:val="17"/>
        <w:szCs w:val="17"/>
      </w:rPr>
      <w:t>ISSN 2636-06</w:t>
    </w:r>
    <w:r>
      <w:rPr>
        <w:rFonts w:ascii="돋움" w:eastAsia="돋움" w:hAnsi="돋움"/>
        <w:b/>
        <w:snapToGrid w:val="0"/>
        <w:sz w:val="17"/>
        <w:szCs w:val="17"/>
      </w:rPr>
      <w:t>67</w:t>
    </w:r>
    <w:r w:rsidRPr="00BD164B">
      <w:rPr>
        <w:rFonts w:ascii="돋움" w:eastAsia="돋움" w:hAnsi="돋움"/>
        <w:b/>
        <w:snapToGrid w:val="0"/>
        <w:sz w:val="17"/>
        <w:szCs w:val="17"/>
      </w:rPr>
      <w:t>(Online)</w:t>
    </w:r>
  </w:p>
  <w:p w14:paraId="5816F88D" w14:textId="77777777" w:rsidR="00426120" w:rsidRPr="005D2AA0" w:rsidRDefault="005D2AA0" w:rsidP="00E13C00">
    <w:pPr>
      <w:pStyle w:val="ae"/>
      <w:tabs>
        <w:tab w:val="right" w:pos="9631"/>
      </w:tabs>
      <w:autoSpaceDE w:val="0"/>
      <w:autoSpaceDN w:val="0"/>
      <w:adjustRightInd w:val="0"/>
      <w:snapToGrid w:val="0"/>
      <w:spacing w:before="0" w:beforeAutospacing="0" w:after="0" w:afterAutospacing="0" w:line="80" w:lineRule="exact"/>
      <w:rPr>
        <w:rFonts w:ascii="돋움" w:eastAsia="돋움" w:hAnsi="돋움"/>
        <w:b/>
        <w:sz w:val="17"/>
        <w:szCs w:val="17"/>
      </w:rPr>
    </w:pPr>
    <w:r>
      <w:rPr>
        <w:rFonts w:ascii="돋움" w:eastAsia="돋움" w:hAnsi="돋움"/>
        <w:b/>
        <w:noProof/>
        <w:sz w:val="17"/>
        <w:szCs w:val="17"/>
      </w:rPr>
      <mc:AlternateContent>
        <mc:Choice Requires="wps">
          <w:drawing>
            <wp:inline distT="0" distB="0" distL="0" distR="0" wp14:anchorId="32959FDB" wp14:editId="31226914">
              <wp:extent cx="6120000" cy="0"/>
              <wp:effectExtent l="0" t="0" r="0" b="0"/>
              <wp:docPr id="6" name="직선 연결선 6"/>
              <wp:cNvGraphicFramePr/>
              <a:graphic xmlns:a="http://schemas.openxmlformats.org/drawingml/2006/main">
                <a:graphicData uri="http://schemas.microsoft.com/office/word/2010/wordprocessingShape">
                  <wps:wsp>
                    <wps:cNvCnPr/>
                    <wps:spPr>
                      <a:xfrm>
                        <a:off x="0" y="0"/>
                        <a:ext cx="61200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3840FF5F" id="직선 연결선 6" o:spid="_x0000_s1026" style="visibility:visible;mso-wrap-style:square;mso-left-percent:-10001;mso-top-percent:-10001;mso-position-horizontal:absolute;mso-position-horizontal-relative:char;mso-position-vertical:absolute;mso-position-vertical-relative:line;mso-left-percent:-10001;mso-top-percent:-10001" from="0,0" to="48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xxuywEAAMUDAAAOAAAAZHJzL2Uyb0RvYy54bWysU82O0zAQviPxDpbvNMkiKhQ13cOu4IKg&#10;4ucBvM64sfCfxqZJj0i8A1duXFc8FupDMHbb7AoQQoiLM/Z88818M5PV5WQN2wFG7V3Hm0XNGTjp&#10;e+22HX/39tmjp5zFJFwvjHfQ8T1Efrl++GA1hhYu/OBND8iIxMV2DB0fUgptVUU5gBVx4QM4ciqP&#10;ViS64rbqUYzEbk11UdfLavTYB/QSYqTX66OTrwu/UiDTK6UiJGY6TrWlcmI5b/JZrVei3aIIg5an&#10;MsQ/VGGFdpR0proWSbAPqH+hslqij16lhfS28kppCUUDqWnqn9S8GUSAooWaE8Pcpvj/aOXL3QaZ&#10;7ju+5MwJSyM6fP14+PSFHT7ffv92m61l7tIYYkvgK7fB0y2GDWbJk0KbvySGTaWz+7mzMCUm6XHZ&#10;0LBqGoA8+6q7wIAxPQdvWTY6brTLokUrdi9iomQEPUPys3FsJMbHT8r0qlzYsZRipb2BI+o1KBJG&#10;yZvCVlYKrgyynaBl6N83WRZxG0fIHKK0MXNQ/eegEzaHQVmzvw2c0SWjd2kOtNp5/F3WNJ1LVUc8&#10;lX1PazZvfL8vgykO2pWi7LTXeRnv30v43d+3/gEAAP//AwBQSwMEFAAGAAgAAAAhAPuhOWLYAAAA&#10;AgEAAA8AAABkcnMvZG93bnJldi54bWxMj09Lw0AQxe+C32EZwZvdqFA1ZlOM4kkQUqXnaXbyB7Oz&#10;MbttVz+9Uy96GXi8x5vfK1bJjWpPcxg8G7hcZKCIG28H7gy8vz1f3IIKEdni6JkMfFGAVXl6UmBu&#10;/YFr2q9jp6SEQ44G+hinXOvQ9OQwLPxELF7rZ4dR5NxpO+NByt2or7JsqR0OLB96nOixp+ZjvXMG&#10;qrrevDbVJ35vppdK36Q2PfnWmPOz9HAPKlKKf2E44gs6lMK09Tu2QY0GZEj8veLdLa9lxvYodVno&#10;/+jlDwAAAP//AwBQSwECLQAUAAYACAAAACEAtoM4kv4AAADhAQAAEwAAAAAAAAAAAAAAAAAAAAAA&#10;W0NvbnRlbnRfVHlwZXNdLnhtbFBLAQItABQABgAIAAAAIQA4/SH/1gAAAJQBAAALAAAAAAAAAAAA&#10;AAAAAC8BAABfcmVscy8ucmVsc1BLAQItABQABgAIAAAAIQCEnxxuywEAAMUDAAAOAAAAAAAAAAAA&#10;AAAAAC4CAABkcnMvZTJvRG9jLnhtbFBLAQItABQABgAIAAAAIQD7oTli2AAAAAIBAAAPAAAAAAAA&#10;AAAAAAAAACUEAABkcnMvZG93bnJldi54bWxQSwUGAAAAAAQABADzAAAAKgUAAAAA&#10;" strokecolor="black [3040]" strokeweight=".5pt">
              <w10:anchorlock/>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120"/>
    <w:rsid w:val="000644BB"/>
    <w:rsid w:val="0008751A"/>
    <w:rsid w:val="000D18B4"/>
    <w:rsid w:val="00125408"/>
    <w:rsid w:val="0014703F"/>
    <w:rsid w:val="00177832"/>
    <w:rsid w:val="001B2F38"/>
    <w:rsid w:val="001D2FC4"/>
    <w:rsid w:val="002D6446"/>
    <w:rsid w:val="003C617F"/>
    <w:rsid w:val="003D4B08"/>
    <w:rsid w:val="00426120"/>
    <w:rsid w:val="004D345C"/>
    <w:rsid w:val="00511775"/>
    <w:rsid w:val="00541F80"/>
    <w:rsid w:val="005A5CEE"/>
    <w:rsid w:val="005C08EB"/>
    <w:rsid w:val="005D012F"/>
    <w:rsid w:val="005D2AA0"/>
    <w:rsid w:val="00731B28"/>
    <w:rsid w:val="00782804"/>
    <w:rsid w:val="007A048D"/>
    <w:rsid w:val="0083265C"/>
    <w:rsid w:val="00875B38"/>
    <w:rsid w:val="008D780C"/>
    <w:rsid w:val="008F519E"/>
    <w:rsid w:val="0094262E"/>
    <w:rsid w:val="00946061"/>
    <w:rsid w:val="00946CAD"/>
    <w:rsid w:val="009779FA"/>
    <w:rsid w:val="0098151A"/>
    <w:rsid w:val="00A43270"/>
    <w:rsid w:val="00AB612D"/>
    <w:rsid w:val="00AD5F56"/>
    <w:rsid w:val="00B91DF4"/>
    <w:rsid w:val="00BB1E51"/>
    <w:rsid w:val="00C72824"/>
    <w:rsid w:val="00CD5BB7"/>
    <w:rsid w:val="00D66366"/>
    <w:rsid w:val="00D760D7"/>
    <w:rsid w:val="00DA3FDD"/>
    <w:rsid w:val="00DF3169"/>
    <w:rsid w:val="00E13C00"/>
    <w:rsid w:val="00E1438D"/>
    <w:rsid w:val="00E15FA5"/>
    <w:rsid w:val="00E453BE"/>
    <w:rsid w:val="00E62CFC"/>
    <w:rsid w:val="00E71214"/>
    <w:rsid w:val="00EB2B9F"/>
    <w:rsid w:val="00F00E00"/>
    <w:rsid w:val="00F01044"/>
    <w:rsid w:val="00F13ACE"/>
    <w:rsid w:val="00FB0D7E"/>
    <w:rsid w:val="00FC1596"/>
    <w:rsid w:val="00FD32BB"/>
    <w:rsid w:val="00FF609D"/>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25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C617F"/>
    <w:pPr>
      <w:widowControl w:val="0"/>
      <w:wordWrap w:val="0"/>
      <w:spacing w:line="360" w:lineRule="atLeast"/>
      <w:jc w:val="both"/>
      <w:textAlignment w:val="baseline"/>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240" w:lineRule="auto"/>
    </w:pPr>
    <w:rPr>
      <w:rFonts w:eastAsia="신명조체"/>
      <w:sz w:val="18"/>
    </w:rPr>
  </w:style>
  <w:style w:type="paragraph" w:styleId="2">
    <w:name w:val="Body Text 2"/>
    <w:basedOn w:val="a"/>
    <w:pPr>
      <w:autoSpaceDE w:val="0"/>
      <w:autoSpaceDN w:val="0"/>
    </w:pPr>
    <w:rPr>
      <w:rFonts w:eastAsia="굴림"/>
      <w:color w:val="000000"/>
      <w:sz w:val="48"/>
    </w:rPr>
  </w:style>
  <w:style w:type="paragraph" w:customStyle="1" w:styleId="1">
    <w:name w:val="개요 1"/>
    <w:pPr>
      <w:widowControl w:val="0"/>
      <w:autoSpaceDE w:val="0"/>
      <w:autoSpaceDN w:val="0"/>
      <w:ind w:left="148" w:hanging="148"/>
      <w:jc w:val="both"/>
    </w:pPr>
    <w:rPr>
      <w:rFonts w:ascii="신명조" w:eastAsia="신명조"/>
    </w:rPr>
  </w:style>
  <w:style w:type="paragraph" w:customStyle="1" w:styleId="20">
    <w:name w:val="개요 2"/>
    <w:pPr>
      <w:widowControl w:val="0"/>
      <w:autoSpaceDE w:val="0"/>
      <w:autoSpaceDN w:val="0"/>
      <w:ind w:left="348" w:hanging="148"/>
      <w:jc w:val="both"/>
    </w:pPr>
    <w:rPr>
      <w:rFonts w:ascii="신명조" w:eastAsia="신명조"/>
    </w:rPr>
  </w:style>
  <w:style w:type="paragraph" w:customStyle="1" w:styleId="3">
    <w:name w:val="개요 3"/>
    <w:pPr>
      <w:widowControl w:val="0"/>
      <w:autoSpaceDE w:val="0"/>
      <w:autoSpaceDN w:val="0"/>
      <w:ind w:left="548" w:hanging="148"/>
      <w:jc w:val="both"/>
    </w:pPr>
    <w:rPr>
      <w:rFonts w:ascii="신명조" w:eastAsia="신명조"/>
    </w:rPr>
  </w:style>
  <w:style w:type="paragraph" w:customStyle="1" w:styleId="4">
    <w:name w:val="개요 4"/>
    <w:pPr>
      <w:widowControl w:val="0"/>
      <w:autoSpaceDE w:val="0"/>
      <w:autoSpaceDN w:val="0"/>
      <w:ind w:left="748" w:hanging="148"/>
      <w:jc w:val="both"/>
    </w:pPr>
    <w:rPr>
      <w:rFonts w:ascii="신명조" w:eastAsia="신명조"/>
    </w:rPr>
  </w:style>
  <w:style w:type="paragraph" w:customStyle="1" w:styleId="5">
    <w:name w:val="개요 5"/>
    <w:pPr>
      <w:widowControl w:val="0"/>
      <w:autoSpaceDE w:val="0"/>
      <w:autoSpaceDN w:val="0"/>
      <w:ind w:left="948" w:hanging="148"/>
      <w:jc w:val="both"/>
    </w:pPr>
    <w:rPr>
      <w:rFonts w:ascii="신명조" w:eastAsia="신명조"/>
    </w:rPr>
  </w:style>
  <w:style w:type="paragraph" w:customStyle="1" w:styleId="6">
    <w:name w:val="개요 6"/>
    <w:pPr>
      <w:widowControl w:val="0"/>
      <w:autoSpaceDE w:val="0"/>
      <w:autoSpaceDN w:val="0"/>
      <w:ind w:left="1148" w:hanging="148"/>
      <w:jc w:val="both"/>
    </w:pPr>
    <w:rPr>
      <w:rFonts w:ascii="신명조" w:eastAsia="신명조"/>
    </w:rPr>
  </w:style>
  <w:style w:type="paragraph" w:customStyle="1" w:styleId="7">
    <w:name w:val="개요 7"/>
    <w:pPr>
      <w:widowControl w:val="0"/>
      <w:autoSpaceDE w:val="0"/>
      <w:autoSpaceDN w:val="0"/>
      <w:ind w:left="1348" w:hanging="148"/>
      <w:jc w:val="both"/>
    </w:pPr>
    <w:rPr>
      <w:rFonts w:ascii="신명조" w:eastAsia="신명조"/>
    </w:rPr>
  </w:style>
  <w:style w:type="paragraph" w:customStyle="1" w:styleId="a4">
    <w:name w:val="쪽 번호"/>
    <w:pPr>
      <w:widowControl w:val="0"/>
      <w:autoSpaceDE w:val="0"/>
      <w:autoSpaceDN w:val="0"/>
      <w:jc w:val="both"/>
    </w:pPr>
    <w:rPr>
      <w:rFonts w:ascii="신명조" w:eastAsia="신명조"/>
    </w:rPr>
  </w:style>
  <w:style w:type="paragraph" w:customStyle="1" w:styleId="a5">
    <w:name w:val="머리말"/>
    <w:pPr>
      <w:widowControl w:val="0"/>
      <w:autoSpaceDE w:val="0"/>
      <w:autoSpaceDN w:val="0"/>
      <w:ind w:right="200"/>
      <w:jc w:val="right"/>
    </w:pPr>
    <w:rPr>
      <w:rFonts w:ascii="신명조" w:eastAsia="신명조"/>
      <w:sz w:val="18"/>
      <w:szCs w:val="18"/>
    </w:rPr>
  </w:style>
  <w:style w:type="paragraph" w:customStyle="1" w:styleId="a6">
    <w:name w:val="각주"/>
    <w:pPr>
      <w:widowControl w:val="0"/>
      <w:autoSpaceDE w:val="0"/>
      <w:autoSpaceDN w:val="0"/>
      <w:ind w:left="264" w:hanging="264"/>
      <w:jc w:val="both"/>
    </w:pPr>
    <w:rPr>
      <w:rFonts w:ascii="신명조" w:eastAsia="신명조"/>
      <w:sz w:val="18"/>
      <w:szCs w:val="18"/>
    </w:rPr>
  </w:style>
  <w:style w:type="paragraph" w:customStyle="1" w:styleId="a7">
    <w:name w:val="그림캡션"/>
    <w:pPr>
      <w:widowControl w:val="0"/>
      <w:autoSpaceDE w:val="0"/>
      <w:autoSpaceDN w:val="0"/>
      <w:jc w:val="both"/>
    </w:pPr>
    <w:rPr>
      <w:rFonts w:ascii="신명조" w:eastAsia="신명조"/>
      <w:sz w:val="18"/>
      <w:szCs w:val="18"/>
    </w:rPr>
  </w:style>
  <w:style w:type="paragraph" w:customStyle="1" w:styleId="a8">
    <w:name w:val="표캡션"/>
    <w:pPr>
      <w:widowControl w:val="0"/>
      <w:autoSpaceDE w:val="0"/>
      <w:autoSpaceDN w:val="0"/>
      <w:jc w:val="both"/>
    </w:pPr>
    <w:rPr>
      <w:rFonts w:ascii="신명조" w:eastAsia="신명조"/>
      <w:sz w:val="18"/>
      <w:szCs w:val="18"/>
    </w:rPr>
  </w:style>
  <w:style w:type="paragraph" w:customStyle="1" w:styleId="a9">
    <w:name w:val="수식캡션"/>
    <w:pPr>
      <w:widowControl w:val="0"/>
      <w:autoSpaceDE w:val="0"/>
      <w:autoSpaceDN w:val="0"/>
      <w:jc w:val="both"/>
    </w:pPr>
    <w:rPr>
      <w:rFonts w:ascii="신명조" w:eastAsia="신명조"/>
      <w:sz w:val="18"/>
      <w:szCs w:val="18"/>
    </w:rPr>
  </w:style>
  <w:style w:type="paragraph" w:customStyle="1" w:styleId="aa">
    <w:name w:val="찾아보기"/>
    <w:pPr>
      <w:widowControl w:val="0"/>
      <w:autoSpaceDE w:val="0"/>
      <w:autoSpaceDN w:val="0"/>
      <w:jc w:val="both"/>
    </w:pPr>
    <w:rPr>
      <w:rFonts w:ascii="신명조" w:eastAsia="신명조"/>
      <w:sz w:val="18"/>
      <w:szCs w:val="18"/>
    </w:rPr>
  </w:style>
  <w:style w:type="paragraph" w:customStyle="1" w:styleId="hstyle0">
    <w:name w:val="hstyle0"/>
    <w:basedOn w:val="a"/>
    <w:pPr>
      <w:widowControl/>
      <w:wordWrap/>
      <w:spacing w:line="432" w:lineRule="auto"/>
      <w:textAlignment w:val="auto"/>
    </w:pPr>
    <w:rPr>
      <w:rFonts w:ascii="한양신명조" w:eastAsia="한양신명조" w:hAnsi="굴림" w:cs="굴림"/>
      <w:color w:val="000000"/>
    </w:rPr>
  </w:style>
  <w:style w:type="paragraph" w:styleId="ab">
    <w:name w:val="header"/>
    <w:basedOn w:val="a"/>
    <w:link w:val="Char"/>
    <w:pPr>
      <w:tabs>
        <w:tab w:val="center" w:pos="4513"/>
        <w:tab w:val="right" w:pos="9026"/>
      </w:tabs>
      <w:snapToGrid w:val="0"/>
    </w:pPr>
  </w:style>
  <w:style w:type="character" w:customStyle="1" w:styleId="Char">
    <w:name w:val="머리글 Char"/>
    <w:basedOn w:val="a0"/>
    <w:link w:val="ab"/>
  </w:style>
  <w:style w:type="paragraph" w:styleId="ac">
    <w:name w:val="footer"/>
    <w:basedOn w:val="a"/>
    <w:link w:val="Char0"/>
    <w:pPr>
      <w:tabs>
        <w:tab w:val="center" w:pos="4513"/>
        <w:tab w:val="right" w:pos="9026"/>
      </w:tabs>
      <w:snapToGrid w:val="0"/>
    </w:pPr>
  </w:style>
  <w:style w:type="character" w:customStyle="1" w:styleId="Char0">
    <w:name w:val="바닥글 Char"/>
    <w:basedOn w:val="a0"/>
    <w:link w:val="ac"/>
  </w:style>
  <w:style w:type="paragraph" w:styleId="ad">
    <w:name w:val="Balloon Text"/>
    <w:basedOn w:val="a"/>
    <w:link w:val="Char1"/>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d"/>
    <w:rPr>
      <w:rFonts w:asciiTheme="majorHAnsi" w:eastAsiaTheme="majorEastAsia" w:hAnsiTheme="majorHAnsi" w:cstheme="majorBidi"/>
      <w:sz w:val="18"/>
      <w:szCs w:val="18"/>
    </w:rPr>
  </w:style>
  <w:style w:type="paragraph" w:styleId="ae">
    <w:name w:val="Normal (Web)"/>
    <w:basedOn w:val="a"/>
    <w:unhideWhenUsed/>
    <w:pPr>
      <w:widowControl/>
      <w:wordWrap/>
      <w:spacing w:before="100" w:beforeAutospacing="1" w:after="100" w:afterAutospacing="1" w:line="240" w:lineRule="auto"/>
      <w:jc w:val="left"/>
      <w:textAlignment w:val="auto"/>
    </w:pPr>
    <w:rPr>
      <w:rFonts w:ascii="굴림" w:eastAsia="굴림" w:hAnsi="굴림" w:cs="굴림"/>
      <w:sz w:val="24"/>
      <w:szCs w:val="24"/>
    </w:rPr>
  </w:style>
  <w:style w:type="character" w:styleId="af">
    <w:name w:val="page number"/>
    <w:basedOn w:val="a0"/>
  </w:style>
  <w:style w:type="paragraph" w:customStyle="1" w:styleId="af0">
    <w:name w:val="바탕글"/>
    <w:basedOn w:val="a"/>
    <w:pPr>
      <w:autoSpaceDE w:val="0"/>
      <w:autoSpaceDN w:val="0"/>
      <w:snapToGrid w:val="0"/>
      <w:spacing w:line="384" w:lineRule="auto"/>
    </w:pPr>
    <w:rPr>
      <w:rFonts w:ascii="굴림" w:eastAsia="굴림" w:hAnsi="굴림" w:cs="굴림"/>
      <w:color w:val="000000"/>
      <w:sz w:val="18"/>
      <w:szCs w:val="18"/>
    </w:rPr>
  </w:style>
  <w:style w:type="table" w:customStyle="1" w:styleId="10">
    <w:name w:val="표 구분선1"/>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Pr>
      <w:color w:val="808080"/>
    </w:rPr>
  </w:style>
  <w:style w:type="paragraph" w:customStyle="1" w:styleId="af2">
    <w:name w:val="저자 및 소속"/>
    <w:pPr>
      <w:widowControl w:val="0"/>
      <w:pBdr>
        <w:top w:val="none" w:sz="2" w:space="0" w:color="000000"/>
        <w:left w:val="none" w:sz="2" w:space="0" w:color="000000"/>
        <w:bottom w:val="none" w:sz="2" w:space="0" w:color="000000"/>
        <w:right w:val="none" w:sz="2" w:space="0" w:color="000000"/>
      </w:pBdr>
      <w:autoSpaceDE w:val="0"/>
      <w:autoSpaceDN w:val="0"/>
      <w:snapToGrid w:val="0"/>
      <w:spacing w:line="312" w:lineRule="auto"/>
      <w:jc w:val="center"/>
      <w:textAlignment w:val="baseline"/>
    </w:pPr>
    <w:rPr>
      <w:rFonts w:ascii="바탕" w:eastAsia="바탕"/>
      <w:b/>
      <w:color w:val="000000"/>
      <w:shd w:val="clear" w:color="000000" w:fill="auto"/>
    </w:rPr>
  </w:style>
  <w:style w:type="paragraph" w:customStyle="1" w:styleId="af3">
    <w:name w:val="표 그림 제목"/>
    <w:uiPriority w:val="1"/>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jc w:val="center"/>
      <w:textAlignment w:val="baseline"/>
    </w:pPr>
    <w:rPr>
      <w:rFonts w:ascii="돋움" w:eastAsia="돋움"/>
      <w:color w:val="000000"/>
      <w:sz w:val="16"/>
      <w:shd w:val="clear" w:color="000000" w:fill="auto"/>
    </w:rPr>
  </w:style>
  <w:style w:type="paragraph" w:customStyle="1" w:styleId="11">
    <w:name w:val="1."/>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돋움" w:eastAsia="돋움"/>
      <w:b/>
      <w:color w:val="000000"/>
      <w:sz w:val="18"/>
      <w:shd w:val="clear" w:color="000000" w:fill="auto"/>
    </w:rPr>
  </w:style>
  <w:style w:type="paragraph" w:styleId="af4">
    <w:name w:val="List Paragraph"/>
    <w:basedOn w:val="a"/>
    <w:qFormat/>
    <w:rsid w:val="0014703F"/>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421602">
      <w:bodyDiv w:val="1"/>
      <w:marLeft w:val="0"/>
      <w:marRight w:val="0"/>
      <w:marTop w:val="0"/>
      <w:marBottom w:val="0"/>
      <w:divBdr>
        <w:top w:val="none" w:sz="0" w:space="0" w:color="auto"/>
        <w:left w:val="none" w:sz="0" w:space="0" w:color="auto"/>
        <w:bottom w:val="none" w:sz="0" w:space="0" w:color="auto"/>
        <w:right w:val="none" w:sz="0" w:space="0" w:color="auto"/>
      </w:divBdr>
    </w:div>
    <w:div w:id="1319848953">
      <w:bodyDiv w:val="1"/>
      <w:marLeft w:val="0"/>
      <w:marRight w:val="0"/>
      <w:marTop w:val="0"/>
      <w:marBottom w:val="0"/>
      <w:divBdr>
        <w:top w:val="none" w:sz="0" w:space="0" w:color="auto"/>
        <w:left w:val="none" w:sz="0" w:space="0" w:color="auto"/>
        <w:bottom w:val="none" w:sz="0" w:space="0" w:color="auto"/>
        <w:right w:val="none" w:sz="0" w:space="0" w:color="auto"/>
      </w:divBdr>
    </w:div>
    <w:div w:id="1409382498">
      <w:bodyDiv w:val="1"/>
      <w:marLeft w:val="0"/>
      <w:marRight w:val="0"/>
      <w:marTop w:val="0"/>
      <w:marBottom w:val="0"/>
      <w:divBdr>
        <w:top w:val="none" w:sz="0" w:space="0" w:color="auto"/>
        <w:left w:val="none" w:sz="0" w:space="0" w:color="auto"/>
        <w:bottom w:val="none" w:sz="0" w:space="0" w:color="auto"/>
        <w:right w:val="none" w:sz="0" w:space="0" w:color="auto"/>
      </w:divBdr>
    </w:div>
    <w:div w:id="192125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81677-3065-4127-8537-C6C0FD7CE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3213</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Manager/>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2022-10-05T04:20:00Z</cp:lastPrinted>
  <dcterms:created xsi:type="dcterms:W3CDTF">2022-10-05T00:38:00Z</dcterms:created>
  <dcterms:modified xsi:type="dcterms:W3CDTF">2026-08-21T04:36:00Z</dcterms:modified>
  <cp:version>1100.0100.01</cp:version>
</cp:coreProperties>
</file>