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pStyle w:val="QuantBTKicker"/>
      </w:pPr>
      <w:r>
        <w:t>项目评估说明  |  内部交流材料</w:t>
      </w:r>
    </w:p>
    <w:p>
      <w:pPr>
        <w:pStyle w:val="QuantBTTitle"/>
      </w:pPr>
      <w:r>
        <w:t>QuantBT</w:t>
      </w:r>
    </w:p>
    <w:p>
      <w:pPr>
        <w:pStyle w:val="QuantBTSubtitle"/>
      </w:pPr>
      <w:r>
        <w:t>面向私募量化研究部门的研究、验证与治理工作台</w:t>
      </w:r>
    </w:p>
    <w:p>
      <w:pPr>
        <w:pStyle w:val="QuantBTSmall"/>
      </w:pPr>
      <w:r>
        <w:rPr>
          <w:rFonts w:ascii="Arial Unicode MS" w:hAnsi="Arial Unicode MS" w:eastAsia="Arial Unicode MS"/>
          <w:b/>
          <w:color w:val="17365D"/>
          <w:sz w:val="19"/>
        </w:rPr>
        <w:t>阅读对象：</w:t>
      </w:r>
      <w:r>
        <w:rPr>
          <w:rFonts w:ascii="Arial Unicode MS" w:hAnsi="Arial Unicode MS" w:eastAsia="Arial Unicode MS"/>
          <w:color w:val="222222"/>
          <w:sz w:val="19"/>
        </w:rPr>
        <w:t>私募量化部门负责人、研究主管、技术负责人、风控与模型审查人员</w:t>
      </w:r>
    </w:p>
    <w:p>
      <w:pPr>
        <w:pStyle w:val="QuantBTSmall"/>
      </w:pPr>
      <w:r>
        <w:rPr>
          <w:rFonts w:ascii="Arial Unicode MS" w:hAnsi="Arial Unicode MS" w:eastAsia="Arial Unicode MS"/>
          <w:b/>
          <w:color w:val="17365D"/>
          <w:sz w:val="19"/>
        </w:rPr>
        <w:t>材料用途：</w:t>
      </w:r>
      <w:r>
        <w:rPr>
          <w:rFonts w:ascii="Arial Unicode MS" w:hAnsi="Arial Unicode MS" w:eastAsia="Arial Unicode MS"/>
          <w:color w:val="222222"/>
          <w:sz w:val="19"/>
        </w:rPr>
        <w:t>项目初筛、内部讨论、试点范围确定</w:t>
      </w:r>
    </w:p>
    <w:p>
      <w:pPr>
        <w:pStyle w:val="QuantBTSmall"/>
      </w:pPr>
      <w:r>
        <w:rPr>
          <w:rFonts w:ascii="Arial Unicode MS" w:hAnsi="Arial Unicode MS" w:eastAsia="Arial Unicode MS"/>
          <w:b/>
          <w:color w:val="17365D"/>
          <w:sz w:val="19"/>
        </w:rPr>
        <w:t>编制日期：</w:t>
      </w:r>
      <w:r>
        <w:rPr>
          <w:rFonts w:ascii="Arial Unicode MS" w:hAnsi="Arial Unicode MS" w:eastAsia="Arial Unicode MS"/>
          <w:color w:val="222222"/>
          <w:sz w:val="19"/>
        </w:rPr>
        <w:t>2026 年 7 月 13 日</w:t>
      </w:r>
    </w:p>
    <w:p>
      <w:pPr>
        <w:pStyle w:val="QuantBTSmall"/>
      </w:pPr>
      <w:r>
        <w:rPr>
          <w:rFonts w:ascii="Arial Unicode MS" w:hAnsi="Arial Unicode MS" w:eastAsia="Arial Unicode MS"/>
          <w:b/>
          <w:color w:val="17365D"/>
          <w:sz w:val="19"/>
        </w:rPr>
        <w:t>证据范围：</w:t>
      </w:r>
      <w:r>
        <w:rPr>
          <w:rFonts w:ascii="Arial Unicode MS" w:hAnsi="Arial Unicode MS" w:eastAsia="Arial Unicode MS"/>
          <w:color w:val="222222"/>
          <w:sz w:val="19"/>
        </w:rPr>
        <w:t>当前本地检出中的 README、GOAL、用户文档及核心代码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Inference：</w:t>
      </w:r>
      <w:r>
        <w:rPr>
          <w:rFonts w:ascii="Arial Unicode MS" w:hAnsi="Arial Unicode MS" w:eastAsia="Arial Unicode MS"/>
          <w:color w:val="222222"/>
          <w:sz w:val="21"/>
        </w:rPr>
        <w:t>QuantBT 更适合被评估为量化研究基础设施，而不是现成的策略产品。它把研究命题、数据时点、实验选择、验证结果、晋级记录和运行监控放进一条可复现链。对部门经理的直接意义，是能查清一个结论怎么来、为什么允许晋级、出现什么证据时必须降级或停止。</w:t>
      </w:r>
    </w:p>
    <w:p>
      <w:pPr>
        <w:pStyle w:val="Heading1"/>
        <w:keepNext/>
        <w:keepLines/>
      </w:pPr>
      <w:r>
        <w:t>经理先看这一页</w:t>
      </w:r>
    </w:p>
    <w:p>
      <w:pPr>
        <w:keepLines/>
      </w:pPr>
      <w:r>
        <w:t>当前 README 将可见产品范围写为 A 股加密。A 股止于 research、backtest 和 paper，不接券商实盘；加密链路包含 backtest、paper、testnet 与受限 Binance live。dev/GOAL.md 把所有公开二级市场列为终态范围。两者必须分开理解，终态范围不能写成当前已上线能力。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80"/>
        <w:gridCol w:w="3960"/>
        <w:gridCol w:w="3720"/>
      </w:tblGrid>
      <w:tr>
        <w:trPr>
          <w:tblHeader w:val="true"/>
          <w:cantSplit w:val="true"/>
        </w:trPr>
        <w:tc>
          <w:tcPr>
            <w:tcW w:type="dxa" w:w="16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判断项</w:t>
            </w:r>
          </w:p>
        </w:tc>
        <w:tc>
          <w:tcPr>
            <w:tcW w:type="dxa" w:w="39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当前证据</w:t>
            </w:r>
          </w:p>
        </w:tc>
        <w:tc>
          <w:tcPr>
            <w:tcW w:type="dxa" w:w="372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给经理的处理建议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平台定位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统一研究对象、数据时间语义、实验、验证、审批、运行和退役记录。</w:t>
            </w:r>
          </w:p>
        </w:tc>
        <w:tc>
          <w:tcPr>
            <w:tcW w:type="dxa" w:w="37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按研究生产与治理底座评估，不按“自动产 alpha 的黑箱”评估。</w:t>
            </w:r>
          </w:p>
        </w:tc>
      </w:tr>
      <w:tr>
        <w:trPr>
          <w:cantSplit w:val="true"/>
        </w:trPr>
        <w:tc>
          <w:tcPr>
            <w:tcW w:type="dxa" w:w="16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方法覆盖</w:t>
            </w:r>
          </w:p>
        </w:tc>
        <w:tc>
          <w:tcPr>
            <w:tcW w:type="dxa" w:w="39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代码与文档可见因子、标签、ML/DL、Purged CV、CPCV、PBO、DSR、PSR、Bootstrap、组合、归因、漂移监控等模块。</w:t>
            </w:r>
          </w:p>
        </w:tc>
        <w:tc>
          <w:tcPr>
            <w:tcW w:type="dxa" w:w="372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先验证这些模块是否接入同一条真实业务链，再讨论规模化。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市场范围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当前主产品文档聚焦 A 股与加密；全公开二级市场属于 GOAL 终态。</w:t>
            </w:r>
          </w:p>
        </w:tc>
        <w:tc>
          <w:tcPr>
            <w:tcW w:type="dxa" w:w="37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首个试点只选一个市场、一条策略、一套数据，不扩成全市场验收。</w:t>
            </w:r>
          </w:p>
        </w:tc>
      </w:tr>
      <w:tr>
        <w:trPr>
          <w:cantSplit w:val="true"/>
        </w:trPr>
        <w:tc>
          <w:tcPr>
            <w:tcW w:type="dxa" w:w="16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交付状态</w:t>
            </w:r>
          </w:p>
        </w:tc>
        <w:tc>
          <w:tcPr>
            <w:tcW w:type="dxa" w:w="39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本次核验的是本地检出。远程 PR、CI、生产部署和用户验收未查询或未验证。</w:t>
            </w:r>
          </w:p>
        </w:tc>
        <w:tc>
          <w:tcPr>
            <w:tcW w:type="dxa" w:w="372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可以进入受控试点，不应直接承诺生产可用。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项目放在量化部门里的位置</w:t>
      </w:r>
    </w:p>
    <w:p>
      <w:pPr>
        <w:keepLines/>
      </w:pPr>
      <w:r>
        <w:t>量化部门常见的问题并不只在模型。研究想法留在聊天记录，数据脚本各自处理复权和时点，回测参数散落在 notebook，模型结果和组合约束缺少同一份版本记录。策略到了 paper 或实盘阶段，原始假设、成本口径和停止条件往往已经很难追溯。</w:t>
      </w:r>
    </w:p>
    <w:p>
      <w:pPr>
        <w:keepLines/>
      </w:pPr>
      <w:r>
        <w:t>QuantBT 的组织方式是把 Dataset、Factor、Label、Model、Signal、StrategyBook、PortfolioPolicy、RiskPolicy、Experiment、BacktestRun 等对象纳入统一 QRO 和 Research Graph。Chat、Canvas、API、IDE、Scheduler 与 Agent Shell 都应落到同一事实源，手工动作和 Agent 动作共享权限、证据、血缘和生命周期记录。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2300"/>
        <w:gridCol w:w="4000"/>
        <w:gridCol w:w="3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部门问题</w:t>
            </w:r>
          </w:p>
        </w:tc>
        <w:tc>
          <w:tcPr>
            <w:tcW w:type="dxa" w:w="40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平台中的处理方式</w:t>
            </w:r>
          </w:p>
        </w:tc>
        <w:tc>
          <w:tcPr>
            <w:tcW w:type="dxa" w:w="30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管理价值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研究口径分散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研究意图先变成 typed QRO，再进入 Research Graph、编译和确定性运行。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负责人能追到对象版本、输入、运行和产物，不靠口头交接。</w:t>
            </w:r>
          </w:p>
        </w:tc>
      </w:tr>
      <w:tr>
        <w:trPr>
          <w:cantSplit w:val="true"/>
        </w:trPr>
        <w:tc>
          <w:tcPr>
            <w:tcW w:type="dxa" w:w="23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前视与数据重述</w:t>
            </w:r>
          </w:p>
        </w:tc>
        <w:tc>
          <w:tcPr>
            <w:tcW w:type="dxa" w:w="40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数据对象记录 event_time、known_at、effective_at、DatasetVersion、checksum 与 lineage。</w:t>
            </w:r>
          </w:p>
        </w:tc>
        <w:tc>
          <w:tcPr>
            <w:tcW w:type="dxa" w:w="30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确认性研究可以检查当时真正可见的数据，而不是只看最终清洗表。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调参和多重检验失控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HypothesisCard、frozen OOS、honest-N、PBO、DSR、CPCV 和 Bootstrap 留下选择过程。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Sharpe 之外还能看到选择偏差、样本不足和切分脆弱性。</w:t>
            </w:r>
          </w:p>
        </w:tc>
      </w:tr>
      <w:tr>
        <w:trPr>
          <w:cantSplit w:val="true"/>
        </w:trPr>
        <w:tc>
          <w:tcPr>
            <w:tcW w:type="dxa" w:w="23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晋级依赖主观判断</w:t>
            </w:r>
          </w:p>
        </w:tc>
        <w:tc>
          <w:tcPr>
            <w:tcW w:type="dxa" w:w="40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Evidence Verdict、Validation Dossier、Approval、Promotion Record 与允许环境分开记录。</w:t>
            </w:r>
          </w:p>
        </w:tc>
        <w:tc>
          <w:tcPr>
            <w:tcW w:type="dxa" w:w="30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研究表现好不等于可生产，审批和证据状态不会混成一个绿灯。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上线后无人复查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paper、testnet、live、monitor、demote、retire 属于同一条生命周期。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监控异常可以回到资产、假设、成本和运行记录，而不是只报警。</w:t>
            </w:r>
          </w:p>
        </w:tc>
      </w:tr>
    </w:tbl>
    <w:p>
      <w:pPr>
        <w:spacing w:after="40"/>
      </w:pPr>
    </w:p>
    <w:p>
      <w:pPr>
        <w:spacing w:before="120" w:after="200" w:line="269" w:lineRule="auto"/>
        <w:ind w:left="144" w:right="144"/>
        <w:shd w:fill="F4F6F9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它不替代的工作：</w:t>
      </w:r>
      <w:r>
        <w:rPr>
          <w:rFonts w:ascii="Arial Unicode MS" w:hAnsi="Arial Unicode MS" w:eastAsia="Arial Unicode MS"/>
          <w:color w:val="222222"/>
          <w:sz w:val="21"/>
        </w:rPr>
        <w:t>平台不能替研究员提供有效经济机制，也不能替投资经理承担仓位、风险预算和方法学选择。它还不能替代数据授权、交易通道、账户安全、灾备与合规审查。它的作用是把这些决定做成可执行、可检查、可追溯的记录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§0、§1、§2、§8、§13；app/backend/app/qro/</w:t>
      </w:r>
    </w:p>
    <w:p>
      <w:pPr>
        <w:pStyle w:val="Heading1"/>
        <w:keepNext/>
        <w:keepLines/>
      </w:pPr>
      <w:r>
        <w:t>研究链怎么跑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2E74B5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主链：</w:t>
      </w:r>
      <w:r>
        <w:rPr>
          <w:rFonts w:ascii="Arial Unicode MS" w:hAnsi="Arial Unicode MS" w:eastAsia="Arial Unicode MS"/>
          <w:color w:val="222222"/>
          <w:sz w:val="21"/>
        </w:rPr>
        <w:t>Quant Intent → Typed Canvas / Command → QRO → Research Graph → Governed Compiler → Deterministic Run → Evidence Verdict → Promotion / Approval → Runtime → Monitor / Retire</w:t>
      </w:r>
    </w:p>
    <w:p>
      <w:pPr>
        <w:keepLines/>
      </w:pPr>
      <w:r>
        <w:t>这条主链把研究与运行接在一起。Data、Factor、Model、Signal、Strategy、Backtest、Execution/Risk、Research 和 Settings 各自有责任边界；跨台需求通过 DeskHandoff 传递。后台角色包括 Coordinator、Literature Researcher、Mathematical Researcher、Data Engineer、Factor Engineer、Model Engineer、Signal Engineer、StrategyBook Engineer、Backtest Engineer、Risk Analyst、Verifier 与 Reporter。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00"/>
        <w:gridCol w:w="3800"/>
        <w:gridCol w:w="366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工作层</w:t>
            </w:r>
          </w:p>
        </w:tc>
        <w:tc>
          <w:tcPr>
            <w:tcW w:type="dxa" w:w="3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主要工作</w:t>
            </w:r>
          </w:p>
        </w:tc>
        <w:tc>
          <w:tcPr>
            <w:tcW w:type="dxa" w:w="36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应留下的产物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研究生产</w:t>
            </w:r>
          </w:p>
        </w:tc>
        <w:tc>
          <w:tcPr>
            <w:tcW w:type="dxa" w:w="3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数据接入、因子与标签、模型训练、信号、组合、回测和策略表达。</w:t>
            </w:r>
          </w:p>
        </w:tc>
        <w:tc>
          <w:tcPr>
            <w:tcW w:type="dxa" w:w="3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版本化资产、运行记录、指标、代码与数据引用。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证据与治理</w:t>
            </w:r>
          </w:p>
        </w:tc>
        <w:tc>
          <w:tcPr>
            <w:tcW w:type="dxa" w:w="38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假设冻结、数学定义、理论实现绑定、验证、反证、审批与责任边界。</w:t>
            </w:r>
          </w:p>
        </w:tc>
        <w:tc>
          <w:tcPr>
            <w:tcW w:type="dxa" w:w="36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HypothesisCard、ConsistencyCheck、Validation Dossier、Evidence Verdict。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运行与复查</w:t>
            </w:r>
          </w:p>
        </w:tc>
        <w:tc>
          <w:tcPr>
            <w:tcW w:type="dxa" w:w="3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paper、testnet、受控 live、成本、漂移、降级、回滚和退役。</w:t>
            </w:r>
          </w:p>
        </w:tc>
        <w:tc>
          <w:tcPr>
            <w:tcW w:type="dxa" w:w="3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监控记录、风险动作、Promotion/Retire 记录与 RDP。</w:t>
            </w:r>
          </w:p>
        </w:tc>
      </w:tr>
    </w:tbl>
    <w:p>
      <w:pPr>
        <w:spacing w:after="40"/>
      </w:pP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§1、§2、§7、§8；README.md 架构总览</w:t>
      </w:r>
    </w:p>
    <w:p>
      <w:r>
        <w:br w:type="page"/>
      </w:r>
    </w:p>
    <w:p>
      <w:pPr>
        <w:pStyle w:val="Heading1"/>
        <w:keepNext/>
        <w:keepLines/>
      </w:pPr>
      <w:r>
        <w:t>哪些专业方法被做成可操作流程</w:t>
      </w:r>
    </w:p>
    <w:p>
      <w:pPr>
        <w:keepLines/>
      </w:pPr>
      <w:r>
        <w:t>这里的“降低门槛”指三件事：把方法做成固定输入与输出，把容易漏掉的约束变成检查项，把结果和适用边界一并保存。入门人员可以按流程完成研究，但方法选择、经济解释和风险承担仍需专业人员负责。</w:t>
      </w:r>
    </w:p>
    <w:p>
      <w:pPr>
        <w:pStyle w:val="Heading2"/>
        <w:keepNext/>
        <w:keepLines/>
      </w:pPr>
      <w:r>
        <w:t>研究设计与反证</w:t>
      </w:r>
    </w:p>
    <w:p>
      <w:pPr>
        <w:keepLines/>
      </w:pPr>
      <w:r>
        <w:t>HypothesisCard 把研究从“先跑出结果再解释”改成先写经济机制、证伪条件和停止规则。研究层区分 exploratory、secondary 与 confirmatory；确认性卡需要绑定 frozen OOS、读取 honest-N，并在冻结后保持核心字段只读。想改假设只能 fork 新卡，偏离会单独留痕。</w:t>
      </w:r>
    </w:p>
    <w:p>
      <w:pPr>
        <w:pStyle w:val="QuantBTBullet"/>
        <w:numPr>
          <w:ilvl w:val="0"/>
          <w:numId w:val="10"/>
        </w:numPr>
        <w:keepLines/>
      </w:pPr>
      <w:r>
        <w:t>可证伪性启发式会检查循环论证、缺少前置条件、缺少可观测阈值和语义空洞；低置信度默认要求人工复核。</w:t>
      </w:r>
    </w:p>
    <w:p>
      <w:pPr>
        <w:pStyle w:val="QuantBTBullet"/>
        <w:numPr>
          <w:ilvl w:val="0"/>
          <w:numId w:val="10"/>
        </w:numPr>
        <w:keepLines/>
      </w:pPr>
      <w:r>
        <w:t>探索期触碰过的数据版本不能再当作确认性 OOS；确认性冻结可要求已注册且带 PIT 语义的数据版本。</w:t>
      </w:r>
    </w:p>
    <w:p>
      <w:pPr>
        <w:pStyle w:val="QuantBTBullet"/>
        <w:numPr>
          <w:ilvl w:val="0"/>
          <w:numId w:val="10"/>
        </w:numPr>
        <w:keepLines/>
      </w:pPr>
      <w:r>
        <w:t>系统记录研究分层、试验次数、偏离、冻结和退役，减少事后改口径。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2E74B5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专业边界：</w:t>
      </w:r>
      <w:r>
        <w:rPr>
          <w:rFonts w:ascii="Arial Unicode MS" w:hAnsi="Arial Unicode MS" w:eastAsia="Arial Unicode MS"/>
          <w:color w:val="222222"/>
          <w:sz w:val="21"/>
        </w:rPr>
        <w:t>可证伪性检查是启发式，不是因果证明。系统提供反证结构和责任记录，不会自动证明经济机制成立。</w:t>
      </w:r>
    </w:p>
    <w:p>
      <w:pPr>
        <w:pStyle w:val="Heading2"/>
        <w:keepNext/>
        <w:keepLines/>
      </w:pPr>
      <w:r>
        <w:t>论文、研报和证据抽取</w:t>
      </w:r>
    </w:p>
    <w:p>
      <w:pPr>
        <w:keepLines/>
      </w:pPr>
      <w:r>
        <w:t>Document Intelligence Plane 将文档拆成 SourceDocument、DocumentVersion、DocumentBlock、TableArtifact、FormulaArtifact、ReferenceArtifact 与 EvidenceSpan。策略或模型主张需要回到页码、区域、字符范围、摘录哈希和 parser run。文档内容按不可信输入处理，不能直接触发高权限工具。</w:t>
      </w:r>
    </w:p>
    <w:p>
      <w:pPr>
        <w:pStyle w:val="QuantBTBullet"/>
        <w:numPr>
          <w:ilvl w:val="0"/>
          <w:numId w:val="10"/>
        </w:numPr>
        <w:keepLines/>
      </w:pPr>
      <w:r>
        <w:t>入门人员可以从论文或研报抽取策略规格、公式和模型主张，并保留来源位置。</w:t>
      </w:r>
    </w:p>
    <w:p>
      <w:pPr>
        <w:pStyle w:val="QuantBTBullet"/>
        <w:numPr>
          <w:ilvl w:val="0"/>
          <w:numId w:val="10"/>
        </w:numPr>
        <w:keepLines/>
      </w:pPr>
      <w:r>
        <w:t>验证人员可以区分“抽取到了”与“span 真正支持该主张”，避免引用存在但证据不支持。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§5、§6；app/backend/app/hypothesis/card.py、store.py、falsifiability.py</w:t>
      </w:r>
    </w:p>
    <w:p>
      <w:pPr>
        <w:pStyle w:val="Heading2"/>
        <w:keepNext/>
        <w:keepLines/>
      </w:pPr>
      <w:r>
        <w:t>数据时间语义与数据治理</w:t>
      </w:r>
    </w:p>
    <w:p>
      <w:pPr>
        <w:keepLines/>
      </w:pPr>
      <w:r>
        <w:t>数据层把 event_time、known_at 和 effective_at 分开，支持 as-of 口径、PIT 与 bitemporal 记录。接入过程还覆盖字段映射、缺失、存活偏差、复权、合约滚动、汇率转换、license、rate limit、retention policy、freshness、schema drift、DatasetVersion、checksum 和 lineage。</w:t>
      </w:r>
    </w:p>
    <w:p>
      <w:pPr>
        <w:pStyle w:val="QuantBTBullet"/>
        <w:numPr>
          <w:ilvl w:val="0"/>
          <w:numId w:val="10"/>
        </w:numPr>
        <w:keepLines/>
      </w:pPr>
      <w:r>
        <w:t>Generic REST、文件上传和 Python connector 提供三条接入路径；统一 schema 减少研究员重复写适配脚本。</w:t>
      </w:r>
    </w:p>
    <w:p>
      <w:pPr>
        <w:pStyle w:val="QuantBTBullet"/>
        <w:numPr>
          <w:ilvl w:val="0"/>
          <w:numId w:val="10"/>
        </w:numPr>
        <w:keepLines/>
      </w:pPr>
      <w:r>
        <w:t>确认性数据门可拒绝没有注册身份或缺少 known_at/effective_at 的数据。</w:t>
      </w:r>
    </w:p>
    <w:p>
      <w:pPr>
        <w:pStyle w:val="QuantBTBullet"/>
        <w:numPr>
          <w:ilvl w:val="0"/>
          <w:numId w:val="10"/>
        </w:numPr>
        <w:keepLines/>
      </w:pPr>
      <w:r>
        <w:t>每次更新形成 DatasetVersion，研究结果可以回到当时的具体数据版本。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经理需要关注：</w:t>
      </w:r>
      <w:r>
        <w:rPr>
          <w:rFonts w:ascii="Arial Unicode MS" w:hAnsi="Arial Unicode MS" w:eastAsia="Arial Unicode MS"/>
          <w:color w:val="222222"/>
          <w:sz w:val="21"/>
        </w:rPr>
        <w:t>接入能力不等于数据合法可用。数据授权、供应商 SLA、字段质量、历史重述规则和商业用途限制仍需单独验收。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§4、§11、§16；docs/data-connector-guide.md；app/backend/app/data_quality.py</w:t>
      </w:r>
    </w:p>
    <w:p>
      <w:pPr>
        <w:pStyle w:val="Heading2"/>
        <w:keepNext/>
        <w:keepLines/>
      </w:pPr>
      <w:r>
        <w:t>因子研究与标签设计</w:t>
      </w:r>
    </w:p>
    <w:p>
      <w:pPr>
        <w:keepLines/>
      </w:pPr>
      <w:r>
        <w:t>当前仓库有 30 个 alpha_lite 因子规格，覆盖动量、反转、波动、均线偏离、成交量、量价、截面处理、波动调整、衰减与偏度。算子注册表有 44 个键，其中包含 lag、rank、ema 等别名。研究员可以用表达式组合时序、截面、一元和二元算子，不必先写完整执行框架。</w:t>
      </w:r>
    </w:p>
    <w:p>
      <w:pPr>
        <w:pStyle w:val="QuantBTBullet"/>
        <w:numPr>
          <w:ilvl w:val="0"/>
          <w:numId w:val="10"/>
        </w:numPr>
        <w:keepLines/>
      </w:pPr>
      <w:r>
        <w:t>因子评估包括 IC、Rank IC、IC-IR、Newey-West HAC t 统计量、IC 衰减、多分位分层、单调性、Spearman 截面相关和冗余对。</w:t>
      </w:r>
    </w:p>
    <w:p>
      <w:pPr>
        <w:pStyle w:val="QuantBTBullet"/>
        <w:numPr>
          <w:ilvl w:val="0"/>
          <w:numId w:val="10"/>
        </w:numPr>
        <w:keepLines/>
      </w:pPr>
      <w:r>
        <w:t>因子治理还记录衰减、拥挤、容量、因子族、相似性、跨策略复用和退役。</w:t>
      </w:r>
    </w:p>
    <w:p>
      <w:pPr>
        <w:pStyle w:val="QuantBTBullet"/>
        <w:numPr>
          <w:ilvl w:val="0"/>
          <w:numId w:val="10"/>
        </w:numPr>
        <w:keepLines/>
      </w:pPr>
      <w:r>
        <w:t>标签包括原始远期收益、超额收益、截面排名、波动调整收益、triple barrier 和 meta-labeling。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2E74B5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读数边界：</w:t>
      </w:r>
      <w:r>
        <w:rPr>
          <w:rFonts w:ascii="Arial Unicode MS" w:hAnsi="Arial Unicode MS" w:eastAsia="Arial Unicode MS"/>
          <w:color w:val="222222"/>
          <w:sz w:val="21"/>
        </w:rPr>
        <w:t>分层回测明确不含手续费、冲击和容量，单调性只说明方向证据。因子相关只给同质性证据，不替研究负责人决定删哪个因子。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核验路径：app/backend/app/factor_factory/alpha_lite.py、operators.py、ic.py、layered.py、correlation.py；app/backend/app/labels/core.py</w:t>
      </w:r>
    </w:p>
    <w:p>
      <w:r>
        <w:br w:type="page"/>
      </w:r>
    </w:p>
    <w:p>
      <w:pPr>
        <w:pStyle w:val="Heading2"/>
        <w:keepNext/>
        <w:keepLines/>
      </w:pPr>
      <w:r>
        <w:t>模型、交叉验证与不确定性</w:t>
      </w:r>
    </w:p>
    <w:p>
      <w:pPr>
        <w:keepLines/>
      </w:pPr>
      <w:r>
        <w:t>仓库中有 19 张 model card，9 张 ML、10 张 DL，frontmatter 均标注 runnable: true。ML 包括 LightGBM、XGBoost、CatBoost、Logistic Regression、Random Forest、Extra Trees、Ridge、Lasso 和 Elastic Net；DL 包括 LSTM、GRU、ALSTM、MLP、TCN、Transformer、TFT、N-BEATS、N-HiTS 和 DeepAR。</w:t>
      </w:r>
    </w:p>
    <w:p>
      <w:pPr>
        <w:keepLines/>
      </w:pPr>
      <w:r>
        <w:t>训练路径支持 Purged K-fold 与 Embargo，也有 walk-forward 和 CPCV。评估层提供 split conformal、CQR、ACI 与 abstain，让模型在区间过宽、校准样本不足或方向不可辨时拒绝给出交易方向。</w:t>
      </w:r>
    </w:p>
    <w:p>
      <w:pPr>
        <w:pStyle w:val="QuantBTBullet"/>
        <w:numPr>
          <w:ilvl w:val="0"/>
          <w:numId w:val="10"/>
        </w:numPr>
        <w:keepLines/>
      </w:pPr>
      <w:r>
        <w:t>Purged K-fold 与 Embargo 控制标签重叠和相邻样本泄漏。</w:t>
      </w:r>
    </w:p>
    <w:p>
      <w:pPr>
        <w:pStyle w:val="QuantBTBullet"/>
        <w:numPr>
          <w:ilvl w:val="0"/>
          <w:numId w:val="10"/>
        </w:numPr>
        <w:keepLines/>
      </w:pPr>
      <w:r>
        <w:t>Walk-forward 将训练和测试按时间推进，适合检查参数与市场阶段变化。</w:t>
      </w:r>
    </w:p>
    <w:p>
      <w:pPr>
        <w:pStyle w:val="QuantBTBullet"/>
        <w:numPr>
          <w:ilvl w:val="0"/>
          <w:numId w:val="10"/>
        </w:numPr>
        <w:keepLines/>
      </w:pPr>
      <w:r>
        <w:t>CPCV 生成多条组合路径，用分布和保守分位观察结果对切分的依赖。</w:t>
      </w:r>
    </w:p>
    <w:p>
      <w:pPr>
        <w:pStyle w:val="QuantBTBullet"/>
        <w:numPr>
          <w:ilvl w:val="0"/>
          <w:numId w:val="10"/>
        </w:numPr>
        <w:keepLines/>
      </w:pPr>
      <w:r>
        <w:t>Conformal 系列给预测区间和弃权机制，避免把不确定预测强行变成仓位。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当前接线边界：</w:t>
      </w:r>
      <w:r>
        <w:rPr>
          <w:rFonts w:ascii="Arial Unicode MS" w:hAnsi="Arial Unicode MS" w:eastAsia="Arial Unicode MS"/>
          <w:color w:val="222222"/>
          <w:sz w:val="21"/>
        </w:rPr>
        <w:t>模型训练中的 CPCV 路径分布在代码里标为 report-only。信号侧的 conformal abstain gate 已有实现，但注释明确说明生产信号管线尚未自动传入校准半宽。方法存在不等于生产链已经完整接通。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核验路径：docs/model_cards/*.md；app/backend/app/models/training.py、purged_cv.py、cpcv.py、dl/architectures.py；app/backend/app/eval/conformal.py；app/backend/app/signals/core.py</w:t>
      </w:r>
    </w:p>
    <w:p>
      <w:pPr>
        <w:pStyle w:val="Heading2"/>
        <w:keepNext/>
        <w:keepLines/>
      </w:pPr>
      <w:r>
        <w:t>信号、组合与容量</w:t>
      </w:r>
    </w:p>
    <w:p>
      <w:pPr>
        <w:keepLines/>
      </w:pPr>
      <w:r>
        <w:t>模型输出不会直接当作订单。信号层把 score 转成 direction、magnitude 和 confidence，可以做 Platt 或 isotonic 校准、置信度过滤、regime gating 与 conformal abstain。组合层提供 equal weight、Markowitz mean-variance、简化 risk parity 和 HRP，并施加单标的、行业、相关性、杠杆与 short 约束。</w:t>
      </w:r>
    </w:p>
    <w:p>
      <w:pPr>
        <w:pStyle w:val="QuantBTBullet"/>
        <w:numPr>
          <w:ilvl w:val="0"/>
          <w:numId w:val="10"/>
        </w:numPr>
        <w:keepLines/>
      </w:pPr>
      <w:r>
        <w:t>Ledoit-Wolf shrinkage、独立 bet 数与 HRP 审计用于处理协方差不稳定和组合集中。</w:t>
      </w:r>
    </w:p>
    <w:p>
      <w:pPr>
        <w:pStyle w:val="QuantBTBullet"/>
        <w:numPr>
          <w:ilvl w:val="0"/>
          <w:numId w:val="10"/>
        </w:numPr>
        <w:keepLines/>
      </w:pPr>
      <w:r>
        <w:t>容量模块把 gross alpha、turnover、ADV、volatility 和 impact coefficient 转为研究或生产模式下的 sizing 上限。</w:t>
      </w:r>
    </w:p>
    <w:p>
      <w:pPr>
        <w:pStyle w:val="QuantBTBullet"/>
        <w:numPr>
          <w:ilvl w:val="0"/>
          <w:numId w:val="10"/>
        </w:numPr>
        <w:keepLines/>
      </w:pPr>
      <w:r>
        <w:t>若冲击系数只是占位值，容量只能作为提示，不应变成硬上限。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核验路径：app/backend/app/signals/core.py；app/backend/app/portfolio/optimizers.py、constraints.py、capacity_sizing.py、independence.py、hrp_audit.py</w:t>
      </w:r>
    </w:p>
    <w:p>
      <w:pPr>
        <w:pStyle w:val="Heading2"/>
        <w:keepNext/>
        <w:keepLines/>
      </w:pPr>
      <w:r>
        <w:t>回测过拟合、归因与成本</w:t>
      </w:r>
    </w:p>
    <w:p>
      <w:pPr>
        <w:keepLines/>
      </w:pPr>
      <w:r>
        <w:t>评估层不只看 Sharpe。PBO/CSCV 用于观察策略选择程序的过拟合概率；DSR 处理多次试验下的 Sharpe 通缩；PSR 与 MinTRL 检查业绩期显著性和最小样本长度；moving-block Bootstrap 给 Sharpe 区间；honest-N 记录真实选择次数。CPCV 与 walk-forward 从不同角度观察切分稳健性。</w:t>
      </w:r>
    </w:p>
    <w:p>
      <w:pPr>
        <w:pStyle w:val="QuantBTBullet"/>
        <w:numPr>
          <w:ilvl w:val="0"/>
          <w:numId w:val="10"/>
        </w:numPr>
        <w:keepLines/>
      </w:pPr>
      <w:r>
        <w:t>Brinson-Fachler 将超额收益拆成 allocation、selection 和 interaction。</w:t>
      </w:r>
    </w:p>
    <w:p>
      <w:pPr>
        <w:pStyle w:val="QuantBTBullet"/>
        <w:numPr>
          <w:ilvl w:val="0"/>
          <w:numId w:val="10"/>
        </w:numPr>
        <w:keepLines/>
      </w:pPr>
      <w:r>
        <w:t>returns-based factor attribution 回归组合收益，检查因子贡献、特异收益、共线和加总恒等式。</w:t>
      </w:r>
    </w:p>
    <w:p>
      <w:pPr>
        <w:pStyle w:val="QuantBTBullet"/>
        <w:numPr>
          <w:ilvl w:val="0"/>
          <w:numId w:val="10"/>
        </w:numPr>
        <w:keepLines/>
      </w:pPr>
      <w:r>
        <w:t>成本层按资产类别区分 commission、tax、borrow、funding、slippage、impact、margin、roll、assignment 等口径。</w:t>
      </w:r>
    </w:p>
    <w:p>
      <w:pPr>
        <w:pStyle w:val="QuantBTBullet"/>
        <w:numPr>
          <w:ilvl w:val="0"/>
          <w:numId w:val="10"/>
        </w:numPr>
        <w:keepLines/>
      </w:pPr>
      <w:r>
        <w:t>PBO、DSR、Bootstrap 与 honest-N 进入证据门时应绑定输入、样本数、数据版本和假设。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§10；app/backend/app/eval/pbo.py、dsr.py、bootstrap.py、brinson.py、attribution.py、overfit_gate.py、n_eff.py</w:t>
      </w:r>
    </w:p>
    <w:p>
      <w:pPr>
        <w:pStyle w:val="Heading2"/>
        <w:keepNext/>
        <w:keepLines/>
      </w:pPr>
      <w:r>
        <w:t>市场状态与运行期监控</w:t>
      </w:r>
    </w:p>
    <w:p>
      <w:pPr>
        <w:keepLines/>
      </w:pPr>
      <w:r>
        <w:t>当前 regime detector 使用 Wilder ADX、+DI/-DI 和滚动波动率 z-score，将状态分为 bull、bear、range 和 crisis。它是确定性的规则法，不是 HMM 或 GARCH。监控层提供 rolling PSR、CUSUM、Page-Hinkley、PSI、IC 衰减和成本漂移。</w:t>
      </w:r>
    </w:p>
    <w:p>
      <w:pPr>
        <w:pStyle w:val="QuantBTBullet"/>
        <w:numPr>
          <w:ilvl w:val="0"/>
          <w:numId w:val="10"/>
        </w:numPr>
        <w:keepLines/>
      </w:pPr>
      <w:r>
        <w:t>rolling PSR、CUSUM 和 Page-Hinkley 属于绩效轴，可作为降级证据。</w:t>
      </w:r>
    </w:p>
    <w:p>
      <w:pPr>
        <w:pStyle w:val="QuantBTBullet"/>
        <w:numPr>
          <w:ilvl w:val="0"/>
          <w:numId w:val="10"/>
        </w:numPr>
        <w:keepLines/>
      </w:pPr>
      <w:r>
        <w:t>PSI 被定义为特征漂移根因诊断，类型上不能直接触发退役。</w:t>
      </w:r>
    </w:p>
    <w:p>
      <w:pPr>
        <w:pStyle w:val="QuantBTBullet"/>
        <w:numPr>
          <w:ilvl w:val="0"/>
          <w:numId w:val="10"/>
        </w:numPr>
        <w:keepLines/>
      </w:pPr>
      <w:r>
        <w:t>DSR 属于晋级期的多重检验工具，代码明确禁止把它搬成单策略运行期主告警。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7A5A00"/>
        </w:pBdr>
        <w:keepLines/>
      </w:pPr>
      <w:r>
        <w:rPr>
          <w:rFonts w:ascii="Arial Unicode MS" w:hAnsi="Arial Unicode MS" w:eastAsia="Arial Unicode MS"/>
          <w:b/>
          <w:color w:val="7A5A00"/>
          <w:sz w:val="21"/>
        </w:rPr>
        <w:t>当前监控残余：</w:t>
      </w:r>
      <w:r>
        <w:rPr>
          <w:rFonts w:ascii="Arial Unicode MS" w:hAnsi="Arial Unicode MS" w:eastAsia="Arial Unicode MS"/>
          <w:color w:val="222222"/>
          <w:sz w:val="21"/>
        </w:rPr>
        <w:t>生产监控模块注释明确写明，当前没有真实的周期性 per-factor IC 来源；缺少真源时不会伪造观测。经理评估时应把“检测器已实现”和“真实周期数据已经接入”分开。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核验路径：app/backend/app/regime/detector.py；app/backend/app/monitor/drift.py、production.py、cost_drift.py</w:t>
      </w:r>
    </w:p>
    <w:p>
      <w:r>
        <w:br w:type="page"/>
      </w:r>
    </w:p>
    <w:p>
      <w:pPr>
        <w:pStyle w:val="Heading1"/>
        <w:keepNext/>
        <w:keepLines/>
      </w:pPr>
      <w:r>
        <w:t>资产如何晋级、监控和退出</w:t>
      </w:r>
    </w:p>
    <w:p>
      <w:pPr>
        <w:keepLines/>
      </w:pPr>
      <w:r>
        <w:t>QuantBT 将状态拆成多个轴。definition、theory、consistency、evidence、governance 和 runtime 不会压成一个状态灯。一个模型可以“代码已实现”，同时仍然“证据不足、未审批、离线”。这种拆分对管理最重要，因为它避免把开发完成误写成生产可用。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600"/>
        <w:gridCol w:w="4860"/>
        <w:gridCol w:w="290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状态轴</w:t>
            </w:r>
          </w:p>
        </w:tc>
        <w:tc>
          <w:tcPr>
            <w:tcW w:type="dxa" w:w="48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GOAL 中的状态</w:t>
            </w:r>
          </w:p>
        </w:tc>
        <w:tc>
          <w:tcPr>
            <w:tcW w:type="dxa" w:w="2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管理含义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definition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draft / specified / implemented</w:t>
            </w:r>
          </w:p>
        </w:tc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描述对象是否已定义和实现，不代表效果。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theory</w:t>
            </w:r>
          </w:p>
        </w:tc>
        <w:tc>
          <w:tcPr>
            <w:tcW w:type="dxa" w:w="48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not_required / required / drafted / derived / challenged / accepted / user_waived</w:t>
            </w:r>
          </w:p>
        </w:tc>
        <w:tc>
          <w:tcPr>
            <w:tcW w:type="dxa" w:w="2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记录理论要求和是否被放宽。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consistency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not_applicable / unbound / checked / mismatch / accepted / waived_for_exploratory</w:t>
            </w:r>
          </w:p>
        </w:tc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说明理论、公式、代码与配置是否一致。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evidence</w:t>
            </w:r>
          </w:p>
        </w:tc>
        <w:tc>
          <w:tcPr>
            <w:tcW w:type="dxa" w:w="48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untested / exploratory / challenged / sufficient / insufficient / unverified_residual</w:t>
            </w:r>
          </w:p>
        </w:tc>
        <w:tc>
          <w:tcPr>
            <w:tcW w:type="dxa" w:w="2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说明证据强度和残余，不等于审批。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governance</w:t>
            </w:r>
          </w:p>
        </w:tc>
        <w:tc>
          <w:tcPr>
            <w:tcW w:type="dxa" w:w="4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unreviewed / approved / rejected / revoked</w:t>
            </w:r>
          </w:p>
        </w:tc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由治理流程决定是否允许晋级。</w:t>
            </w:r>
          </w:p>
        </w:tc>
      </w:tr>
      <w:tr>
        <w:trPr>
          <w:cantSplit w:val="true"/>
        </w:trPr>
        <w:tc>
          <w:tcPr>
            <w:tcW w:type="dxa" w:w="16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runtime</w:t>
            </w:r>
          </w:p>
        </w:tc>
        <w:tc>
          <w:tcPr>
            <w:tcW w:type="dxa" w:w="48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offline / paper / testnet / live / suspended / retired</w:t>
            </w:r>
          </w:p>
        </w:tc>
        <w:tc>
          <w:tcPr>
            <w:tcW w:type="dxa" w:w="2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说明允许进入的运行环境。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主要生命周期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00"/>
        <w:gridCol w:w="4880"/>
        <w:gridCol w:w="258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8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主要迁移</w:t>
            </w:r>
          </w:p>
        </w:tc>
        <w:tc>
          <w:tcPr>
            <w:tcW w:type="dxa" w:w="25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负责人要看的证据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research question → source intake → evidence extraction → hypothesis / counter-hypothesis → math definition → experiment plan → data lock → implementation → run → validation / challenge → claim / no-claim → RDP → promotion / rejection → review / contradiction / retirement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假设、反证、数据锁、运行、挑战、结论和未验证残余是否连得上。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DataSource / Integration / IngestionSkill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discovery → classification → Settings requirement → secret → connection test → schema/profile → field mapping → time semantics → skill generation → dry-run → quality tests → DatasetVersion → registration → refresh → freshness/schema drift → repair/revoke/retire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授权、凭据、字段、时点、质量、版本、刷新和退役是否有责任人。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Dataset / Observable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GOAL 将其列为受治理生命周期；具体状态使用共享状态轴，并由 DatasetVersion、freshness 与 schema drift 记录变化。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不要把“数据文件存在”当作“当时可见、可复现、可商用”。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Mathematical Spine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intent → requirement detection → MethodologyChoiceRecord → TheorySpec / MathematicalArtifact → assumptions / derivation / counterexample → ImplementationSpec → code binding → unit/property/simulation/numerical check → ConsistencyCheck → used_by → revision/waive/retire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方法、假设、单位、实现和测试是否一致；放宽后允许进入什么环境。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TheoryImplementationBinding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理论与实现建立 binding，经过 symbolic、dimensional、property、numerical、simulation、replay 或 review 检查；实现变化后需要刷新。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公式正确和代码正确必须有绑定证据，不能只看说明文档。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LLM Provider / Auth / Routing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provider discovery → auth method → Settings wizard → SecretRef / TokenRef → connection test → model profile → credential pool → cost/quota/retention → routing → role binding → health/quota → rotate/revoke/retire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模型、凭据、调用记录、费用和保留策略是否隔离；Agent 是否只能经 Gateway 调用。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Factor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NEW → QUALIFIED → PROBATION → OBSERVATION → WARNING → RETIRED；阈值参数化，观测和事件留痕。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IC、IR、样本、paper 超额、衰减和连续告警是否来自真实周期数据。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Model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Model Registry stage 支持 dev / staging / production / archived；重大数据、特征、模型、资产、环境或依赖变化触发 recertification。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Model card、训练数据、代码 hash、artifact manifest、challenger、passport 与 recertification 是否齐全。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Signal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GOAL 将 Signal 列为独立生命周期；信号需绑定方向、幅度、置信度、过期、异常处理、冲突和 Signal Contract，并使用共享状态轴晋级。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模型输出是否经过信号契约、校准、弃权和允许环境，而不是直接下单。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StrategyBook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idea → draft → specified legs/universe/constraints/costs → linked assets → backtest candidate → validation dossier → paper/testnet candidate → approved runtime → monitored runtime → suspend/demote/retire → fork/clone/archive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腿、资产引用、成本、组合约束、验证、审批、运行版本和停止条件是否一致。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Portfolio / Risk / Execution Policy</w:t>
            </w:r>
          </w:p>
        </w:tc>
        <w:tc>
          <w:tcPr>
            <w:tcW w:type="dxa" w:w="4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GOAL 将三类 Policy 作为独立受治理资产，使用共享状态轴、版本、证据、审批、允许环境和 retire rule。</w:t>
            </w:r>
          </w:p>
        </w:tc>
        <w:tc>
          <w:tcPr>
            <w:tcW w:type="dxa" w:w="25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风险预算和执行护栏是否与策略表现分开审批，真金副作用是否有不可绕过的门。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Experiment / Run</w:t>
            </w:r>
          </w:p>
        </w:tc>
        <w:tc>
          <w:tcPr>
            <w:tcW w:type="dxa" w:w="48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Run 状态为 queued / running / succeeded / failed / cancelled；支持 parent_run_id 与 forked_from，并可绑定 hypothesis card 和 exploratory/secondary/confirmatory layer。</w:t>
            </w:r>
          </w:p>
        </w:tc>
        <w:tc>
          <w:tcPr>
            <w:tcW w:type="dxa" w:w="258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失败和取消不能被抹成成功；派生运行要能回到父运行和假设。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正式交付物不是一份收益截图</w:t>
      </w:r>
    </w:p>
    <w:p>
      <w:pPr>
        <w:keepLines/>
      </w:pPr>
      <w:r>
        <w:t>正式研究交付使用开放格式 Research Delivery Package。RDP 将研究命题、图、数据/PIT、Provider 调用、数学定义、方法选择、资产版本、代码环境、hash、seed、复现命令、测试、运行、honest-N、成本、归因、限制、残余、verdict、审批、部署、监控、回滚和退役清单放在同一包里。</w:t>
      </w:r>
    </w:p>
    <w:p>
      <w:pPr>
        <w:pStyle w:val="QuantBTBullet"/>
        <w:numPr>
          <w:ilvl w:val="0"/>
          <w:numId w:val="10"/>
        </w:numPr>
        <w:keepLines/>
      </w:pPr>
      <w:r>
        <w:t>研究负责人能复查命题、假设和选择过程。</w:t>
      </w:r>
    </w:p>
    <w:p>
      <w:pPr>
        <w:pStyle w:val="QuantBTBullet"/>
        <w:numPr>
          <w:ilvl w:val="0"/>
          <w:numId w:val="10"/>
        </w:numPr>
        <w:keepLines/>
      </w:pPr>
      <w:r>
        <w:t>模型审查能复查数据、代码、数学绑定、测试和 challenger。</w:t>
      </w:r>
    </w:p>
    <w:p>
      <w:pPr>
        <w:pStyle w:val="QuantBTBullet"/>
        <w:numPr>
          <w:ilvl w:val="0"/>
          <w:numId w:val="10"/>
        </w:numPr>
        <w:keepLines/>
      </w:pPr>
      <w:r>
        <w:t>风控与运维能复查允许环境、审批、监控、回滚和退役条件。</w:t>
      </w:r>
    </w:p>
    <w:p>
      <w:pPr>
        <w:pStyle w:val="QuantBTBullet"/>
        <w:numPr>
          <w:ilvl w:val="0"/>
          <w:numId w:val="10"/>
        </w:numPr>
        <w:keepLines/>
      </w:pPr>
      <w:r>
        <w:t>接手人员能用开放格式和复现命令重建运行，而不是依赖原作者电脑。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核验路径：dev/GOAL.md §3、§6、§15、§17；app/backend/app/experiments/store.py；app/backend/app/factor_factory/lifecycle.py</w:t>
      </w:r>
    </w:p>
    <w:p>
      <w:r>
        <w:br w:type="page"/>
      </w:r>
    </w:p>
    <w:p>
      <w:pPr>
        <w:pStyle w:val="Heading1"/>
        <w:keepNext/>
        <w:keepLines/>
      </w:pPr>
      <w:r>
        <w:t>当前能证明什么，不能证明什么</w:t>
      </w:r>
    </w:p>
    <w:p>
      <w:pPr>
        <w:keepLines/>
      </w:pPr>
      <w:r>
        <w:t>本材料基于当前本地检出，不是发布验收报告。README、GOAL、用户文档和核心代码之间可以证明产品意图、模块存在和若干明确边界，但不能据此证明远程分支、CI、生产环境或真实账户已经通过验收。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700"/>
        <w:gridCol w:w="4300"/>
        <w:gridCol w:w="33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43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当前本地证据</w:t>
            </w:r>
          </w:p>
        </w:tc>
        <w:tc>
          <w:tcPr>
            <w:tcW w:type="dxa" w:w="33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不能据此推出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产品范围</w:t>
            </w:r>
          </w:p>
        </w:tc>
        <w:tc>
          <w:tcPr>
            <w:tcW w:type="dxa" w:w="4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README 聚焦 A 股与加密；A 股最多到 research/backtest/paper，加密可到 testnet 与受限 Binance live。</w:t>
            </w:r>
          </w:p>
        </w:tc>
        <w:tc>
          <w:tcPr>
            <w:tcW w:type="dxa" w:w="3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所有公开二级市场已经接入并生产运行。</w:t>
            </w:r>
          </w:p>
        </w:tc>
      </w:tr>
      <w:tr>
        <w:trPr>
          <w:cantSplit w:val="true"/>
        </w:trPr>
        <w:tc>
          <w:tcPr>
            <w:tcW w:type="dxa" w:w="1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终态架构</w:t>
            </w:r>
          </w:p>
        </w:tc>
        <w:tc>
          <w:tcPr>
            <w:tcW w:type="dxa" w:w="43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dev/GOAL.md 定义所有公开二级市场、Agent-native、canvas-native、governance-first 的终态。</w:t>
            </w:r>
          </w:p>
        </w:tc>
        <w:tc>
          <w:tcPr>
            <w:tcW w:type="dxa" w:w="33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GOAL 中每一项都已完成、接线并验收。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方法库</w:t>
            </w:r>
          </w:p>
        </w:tc>
        <w:tc>
          <w:tcPr>
            <w:tcW w:type="dxa" w:w="4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可读到因子、标签、19 张模型卡、交叉验证、PBO/DSR/PSR、Bootstrap、组合、归因、漂移等代码。</w:t>
            </w:r>
          </w:p>
        </w:tc>
        <w:tc>
          <w:tcPr>
            <w:tcW w:type="dxa" w:w="3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所有方法都已在同一条真实生产链上运行。</w:t>
            </w:r>
          </w:p>
        </w:tc>
      </w:tr>
      <w:tr>
        <w:trPr>
          <w:cantSplit w:val="true"/>
        </w:trPr>
        <w:tc>
          <w:tcPr>
            <w:tcW w:type="dxa" w:w="1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执行</w:t>
            </w:r>
          </w:p>
        </w:tc>
        <w:tc>
          <w:tcPr>
            <w:tcW w:type="dxa" w:w="43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存在 Backtest、Paper、Binance spot/UM futures、风险门、keystore、kill switch 和紧急动作代码。</w:t>
            </w:r>
          </w:p>
        </w:tc>
        <w:tc>
          <w:tcPr>
            <w:tcW w:type="dxa" w:w="33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真实账户、权限、成交对账、灾备和运营流程已由本次核验通过。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文档记录</w:t>
            </w:r>
          </w:p>
        </w:tc>
        <w:tc>
          <w:tcPr>
            <w:tcW w:type="dxa" w:w="4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README 记录了 2026-06-24 的 1357 passed / 13 skipped。</w:t>
            </w:r>
          </w:p>
        </w:tc>
        <w:tc>
          <w:tcPr>
            <w:tcW w:type="dxa" w:w="3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该数字是 2026-07-13 当前本地检出的最新全量测试结果。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六个交付字段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900"/>
        <w:gridCol w:w="1500"/>
        <w:gridCol w:w="596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1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本次状态</w:t>
            </w:r>
          </w:p>
        </w:tc>
        <w:tc>
          <w:tcPr>
            <w:tcW w:type="dxa" w:w="59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证据或说明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local checkout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verified</w:t>
            </w:r>
          </w:p>
        </w:tc>
        <w:tc>
          <w:tcPr>
            <w:tcW w:type="dxa" w:w="5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分支显示 main...origin/main，HEAD 为 2a3e884a6bd7a5eb1cb7414d6d1e8786043f98e1；检出中有大量已修改和未跟踪文件。本材料是当前检出快照，不是干净 release tag。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remote branch / PR</w:t>
            </w:r>
          </w:p>
        </w:tc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</w:t>
            </w:r>
          </w:p>
        </w:tc>
        <w:tc>
          <w:tcPr>
            <w:tcW w:type="dxa" w:w="59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本次未调用 GitHub 或远程仓库工具，没有核验 PR、review 或远程 branch 状态。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local tests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Unverified</w:t>
            </w:r>
          </w:p>
        </w:tc>
        <w:tc>
          <w:tcPr>
            <w:tcW w:type="dxa" w:w="5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本次文档任务没有重新执行项目全量测试。README 的 1357 passed / 13 skipped 仅是 2026-06-24 的历史记录。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CI</w:t>
            </w:r>
          </w:p>
        </w:tc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</w:t>
            </w:r>
          </w:p>
        </w:tc>
        <w:tc>
          <w:tcPr>
            <w:tcW w:type="dxa" w:w="59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仓库有 .github/workflows，但本次没有查询当前 workflow run 或 CI 结果。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production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Unqueried</w:t>
            </w:r>
          </w:p>
        </w:tc>
        <w:tc>
          <w:tcPr>
            <w:tcW w:type="dxa" w:w="5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本次没有访问生产服务、真实交易账户、真实数据供应商或部署平台。</w:t>
            </w:r>
          </w:p>
        </w:tc>
      </w:tr>
      <w:tr>
        <w:trPr>
          <w:cantSplit w:val="true"/>
        </w:trPr>
        <w:tc>
          <w:tcPr>
            <w:tcW w:type="dxa" w:w="19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user acceptance</w:t>
            </w:r>
          </w:p>
        </w:tc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Unverified</w:t>
            </w:r>
          </w:p>
        </w:tc>
        <w:tc>
          <w:tcPr>
            <w:tcW w:type="dxa" w:w="59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没有量化部门用户完成本次版本的 UAT 或书面验收证据。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目前最需要补的证据</w:t>
      </w:r>
    </w:p>
    <w:p>
      <w:pPr>
        <w:pStyle w:val="QuantBTBullet"/>
        <w:numPr>
          <w:ilvl w:val="0"/>
          <w:numId w:val="10"/>
        </w:numPr>
        <w:keepLines/>
      </w:pPr>
      <w:r>
        <w:t>用一个干净、可标记的 release checkout 重跑后端、前端、打包和安全测试，并保存命令与结果。</w:t>
      </w:r>
    </w:p>
    <w:p>
      <w:pPr>
        <w:pStyle w:val="QuantBTBullet"/>
        <w:numPr>
          <w:ilvl w:val="0"/>
          <w:numId w:val="10"/>
        </w:numPr>
        <w:keepLines/>
      </w:pPr>
      <w:r>
        <w:t>查询远程 PR、CI 与发布记录，确认本地大量变更是否已经进入可审查分支。</w:t>
      </w:r>
    </w:p>
    <w:p>
      <w:pPr>
        <w:pStyle w:val="QuantBTBullet"/>
        <w:numPr>
          <w:ilvl w:val="0"/>
          <w:numId w:val="10"/>
        </w:numPr>
        <w:keepLines/>
      </w:pPr>
      <w:r>
        <w:t>在受控环境接入一套真实数据和一个 paper 策略，验证 PIT、RDP、监控和退役记录不是样例路径。</w:t>
      </w:r>
    </w:p>
    <w:p>
      <w:pPr>
        <w:pStyle w:val="QuantBTBullet"/>
        <w:numPr>
          <w:ilvl w:val="0"/>
          <w:numId w:val="10"/>
        </w:numPr>
        <w:keepLines/>
      </w:pPr>
      <w:r>
        <w:t>为 conformal 信号弃权和周期性 per-factor IC 提供真实生产数据源，再证明监控链确实求值。</w:t>
      </w:r>
    </w:p>
    <w:p>
      <w:pPr>
        <w:pStyle w:val="QuantBTBullet"/>
        <w:numPr>
          <w:ilvl w:val="0"/>
          <w:numId w:val="10"/>
        </w:numPr>
        <w:keepLines/>
      </w:pPr>
      <w:r>
        <w:t>对真实执行另做权限、密钥、撤单、对账、kill switch、灾备和运营演练，研究验收不能替代这些检查。</w:t>
      </w:r>
    </w:p>
    <w:p>
      <w:pPr>
        <w:pStyle w:val="QuantBTSource"/>
      </w:pPr>
      <w:r>
        <w:rPr>
          <w:rFonts w:ascii="Arial Unicode MS" w:hAnsi="Arial Unicode MS" w:eastAsia="Arial Unicode MS"/>
          <w:color w:val="5F6368"/>
          <w:sz w:val="17"/>
        </w:rPr>
        <w:t>核验路径：git status --short --branch；git rev-parse HEAD；README.md；app/backend/app/signals/core.py；app/backend/app/monitor/production.py</w:t>
      </w:r>
    </w:p>
    <w:p>
      <w:r>
        <w:br w:type="page"/>
      </w:r>
    </w:p>
    <w:p>
      <w:pPr>
        <w:pStyle w:val="Heading1"/>
        <w:keepNext/>
        <w:keepLines/>
      </w:pPr>
      <w:r>
        <w:t>如何在量化部门做一次低风险试点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Inference：</w:t>
      </w:r>
      <w:r>
        <w:rPr>
          <w:rFonts w:ascii="Arial Unicode MS" w:hAnsi="Arial Unicode MS" w:eastAsia="Arial Unicode MS"/>
          <w:color w:val="222222"/>
          <w:sz w:val="21"/>
        </w:rPr>
        <w:t>建议先做四周受控试点。只选一条部门已经理解的策略、一套有授权的数据和一个 paper 环境。目标不是证明策略赚钱，而是比较 QuantBT 与现有流程在复现、泄漏控制、验证、审查和交接上的差异。</w:t>
      </w:r>
    </w:p>
    <w:p>
      <w:pPr>
        <w:pStyle w:val="Heading2"/>
        <w:keepNext/>
        <w:keepLines/>
      </w:pPr>
      <w:r>
        <w:t>试点范围</w:t>
      </w:r>
    </w:p>
    <w:p>
      <w:pPr>
        <w:pStyle w:val="QuantBTNumber"/>
        <w:numPr>
          <w:ilvl w:val="0"/>
          <w:numId w:val="12"/>
        </w:numPr>
        <w:keepLines/>
      </w:pPr>
      <w:r>
        <w:t>第 1 周：冻结现有策略的基准版本，记录数据版本、因子、标签、成本、组合约束、回测窗口和现有结果。</w:t>
      </w:r>
    </w:p>
    <w:p>
      <w:pPr>
        <w:pStyle w:val="QuantBTNumber"/>
        <w:numPr>
          <w:ilvl w:val="0"/>
          <w:numId w:val="12"/>
        </w:numPr>
        <w:keepLines/>
      </w:pPr>
      <w:r>
        <w:t>第 2 周：把同一策略映射到 Dataset、Factor、Label、Model、Signal、StrategyBook 和 Experiment/Run，补齐 HypothesisCard 与 frozen OOS。</w:t>
      </w:r>
    </w:p>
    <w:p>
      <w:pPr>
        <w:pStyle w:val="QuantBTNumber"/>
        <w:numPr>
          <w:ilvl w:val="0"/>
          <w:numId w:val="12"/>
        </w:numPr>
        <w:keepLines/>
      </w:pPr>
      <w:r>
        <w:t>第 3 周：运行 Purged CV 或 walk-forward，并按适用性增加 CPCV、PBO、DSR、PSR/MinTRL、Bootstrap、归因和容量检查。</w:t>
      </w:r>
    </w:p>
    <w:p>
      <w:pPr>
        <w:pStyle w:val="QuantBTNumber"/>
        <w:numPr>
          <w:ilvl w:val="0"/>
          <w:numId w:val="12"/>
        </w:numPr>
        <w:keepLines/>
      </w:pPr>
      <w:r>
        <w:t>第 4 周：生成 RDP，进入 paper，演练监控、偏离、降级、回滚和退役，再由研究、风控和技术共同复核。</w:t>
      </w:r>
    </w:p>
    <w:p>
      <w:pPr>
        <w:pStyle w:val="Heading2"/>
        <w:keepNext/>
        <w:keepLines/>
      </w:pPr>
      <w:r>
        <w:t>建议验收表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800"/>
        <w:gridCol w:w="4240"/>
        <w:gridCol w:w="332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验收维度</w:t>
            </w:r>
          </w:p>
        </w:tc>
        <w:tc>
          <w:tcPr>
            <w:tcW w:type="dxa" w:w="424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通过条件</w:t>
            </w:r>
          </w:p>
        </w:tc>
        <w:tc>
          <w:tcPr>
            <w:tcW w:type="dxa" w:w="332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应提交的证据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复现</w:t>
            </w:r>
          </w:p>
        </w:tc>
        <w:tc>
          <w:tcPr>
            <w:tcW w:type="dxa" w:w="4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同一代码、数据版本、配置和 seed 能按事先约定的容差重建结果。</w:t>
            </w:r>
          </w:p>
        </w:tc>
        <w:tc>
          <w:tcPr>
            <w:tcW w:type="dxa" w:w="3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复现命令、environment lock、hash、run id、差异说明。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数据时点</w:t>
            </w:r>
          </w:p>
        </w:tc>
        <w:tc>
          <w:tcPr>
            <w:tcW w:type="dxa" w:w="424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确认性数据有 DatasetVersion 与 known_at/effective_at 依据，未来重述不能进入当时视图。</w:t>
            </w:r>
          </w:p>
        </w:tc>
        <w:tc>
          <w:tcPr>
            <w:tcW w:type="dxa" w:w="332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PIT 检查、as-of 样本、数据门结果、lineage。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选择偏差</w:t>
            </w:r>
          </w:p>
        </w:tc>
        <w:tc>
          <w:tcPr>
            <w:tcW w:type="dxa" w:w="4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试验次数、候选策略和 OOS 使用记录可查，PBO/DSR/CPCV 的适用性和不足写清。</w:t>
            </w:r>
          </w:p>
        </w:tc>
        <w:tc>
          <w:tcPr>
            <w:tcW w:type="dxa" w:w="3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honest-N、frozen OOS、路径分布、verdict 和未验证残余。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成本与组合</w:t>
            </w:r>
          </w:p>
        </w:tc>
        <w:tc>
          <w:tcPr>
            <w:tcW w:type="dxa" w:w="424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现有部门口径与平台口径的费用、冲击、容量、约束和归因差异能解释。</w:t>
            </w:r>
          </w:p>
        </w:tc>
        <w:tc>
          <w:tcPr>
            <w:tcW w:type="dxa" w:w="332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成本模型、TCA、capacity decision、Brinson 或因子归因。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治理</w:t>
            </w:r>
          </w:p>
        </w:tc>
        <w:tc>
          <w:tcPr>
            <w:tcW w:type="dxa" w:w="4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研究实现、证据充分、审批通过和允许环境保持分离。</w:t>
            </w:r>
          </w:p>
        </w:tc>
        <w:tc>
          <w:tcPr>
            <w:tcW w:type="dxa" w:w="3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状态轴、Validation Dossier、Approval、Promotion、ResponsibilityDisclosure。</w:t>
            </w:r>
          </w:p>
        </w:tc>
      </w:tr>
      <w:tr>
        <w:trPr>
          <w:cantSplit w:val="true"/>
        </w:trPr>
        <w:tc>
          <w:tcPr>
            <w:tcW w:type="dxa" w:w="18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运行复查</w:t>
            </w:r>
          </w:p>
        </w:tc>
        <w:tc>
          <w:tcPr>
            <w:tcW w:type="dxa" w:w="424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paper 阶段能记录监控输入、异常、降级和停止动作；无真数据时显示不足而不是绿灯。</w:t>
            </w:r>
          </w:p>
        </w:tc>
        <w:tc>
          <w:tcPr>
            <w:tcW w:type="dxa" w:w="332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监控日志、drift result、lifecycle event、rollback/retire 记录。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交接</w:t>
            </w:r>
          </w:p>
        </w:tc>
        <w:tc>
          <w:tcPr>
            <w:tcW w:type="dxa" w:w="4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非原作者能依 RDP 找到输入、代码、结论、限制和复现路径。</w:t>
            </w:r>
          </w:p>
        </w:tc>
        <w:tc>
          <w:tcPr>
            <w:tcW w:type="dxa" w:w="3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完整 RDP 与一次独立复现记录。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停止条件</w:t>
      </w:r>
    </w:p>
    <w:p>
      <w:pPr>
        <w:keepLines/>
      </w:pPr>
      <w:r>
        <w:t>如果试点结束时仍无法锁定数据版本、无法重建基准结果、无法解释现有流程与平台结果的差异，或无法生成可独立复查的 RDP，就不应继续扩大接入范围。真实资金链路必须另立安全与运营验收，不能由研究试点自动放行。</w:t>
      </w:r>
    </w:p>
    <w:p>
      <w:pPr>
        <w:pStyle w:val="Heading1"/>
        <w:keepNext/>
        <w:keepLines/>
      </w:pPr>
      <w:r>
        <w:t>管理判断</w:t>
      </w:r>
    </w:p>
    <w:p>
      <w:pPr>
        <w:keepLines/>
      </w:pPr>
      <w:r>
        <w:t>Inference: 如果部门当前的主要问题是研究口径分散、结果难复现、调参次数不透明、模型与策略交接困难，QuantBT 有明确的试点价值。它把不少专业方法从“少数研究员的个人习惯”变成可重复的流程和证据字段。</w:t>
      </w:r>
    </w:p>
    <w:p>
      <w:pPr>
        <w:keepLines/>
      </w:pPr>
      <w:r>
        <w:t>Inference: 如果采购目标是开箱即用的全市场生产交易平台，当前本地证据不够。合理顺序是先完成一条策略的研究与 paper 验证，再检查干净 release、全量测试、CI、部署、安全、真实账户和用户验收。通过这些门之后，才讨论扩大市场、资产和资金规模。</w:t>
      </w:r>
    </w:p>
    <w:p>
      <w:r>
        <w:br w:type="page"/>
      </w:r>
    </w:p>
    <w:p>
      <w:pPr>
        <w:pStyle w:val="Heading1"/>
        <w:keepNext/>
        <w:keepLines/>
      </w:pPr>
      <w:r>
        <w:t>附录 A：方法清单</w:t>
      </w:r>
    </w:p>
    <w:p>
      <w:pPr>
        <w:keepLines/>
      </w:pPr>
      <w:r>
        <w:t>下表按“入门人员能操作什么”和“专业人员仍需判断什么”整理。它是仓库可见方法的索引，不代表每项都已接入生产链。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Ind w:type="dxa" w:w="120"/>
      </w:tblPr>
      <w:tblGrid>
        <w:gridCol w:w="1500"/>
        <w:gridCol w:w="47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研究环节</w:t>
            </w:r>
          </w:p>
        </w:tc>
        <w:tc>
          <w:tcPr>
            <w:tcW w:type="dxa" w:w="47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仓库可见方法</w:t>
            </w:r>
          </w:p>
        </w:tc>
        <w:tc>
          <w:tcPr>
            <w:tcW w:type="dxa" w:w="31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降低的门槛与保留的责任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研究设计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HypothesisCard；economic mechanism；falsification condition；stop rule；exploratory/secondary/confirmatory；frozen OOS；freeze/fork/deviation；honest-N。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把事前假设、确认性数据和偏离做成字段。研究负责人仍需判断机制和证伪标准。</w:t>
            </w:r>
          </w:p>
        </w:tc>
      </w:tr>
      <w:tr>
        <w:trPr>
          <w:cantSplit w:val="true"/>
        </w:trPr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文档证据</w:t>
            </w:r>
          </w:p>
        </w:tc>
        <w:tc>
          <w:tcPr>
            <w:tcW w:type="dxa" w:w="4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SourceDocument、Version、Block、Table/Formula/Reference Artifact、EvidenceSpan、ExtractionRun、span-support verification。</w:t>
            </w:r>
          </w:p>
        </w:tc>
        <w:tc>
          <w:tcPr>
            <w:tcW w:type="dxa" w:w="31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能从原文回到具体位置。阅读、版权、解释与主张强度仍需人工复核。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数据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PIT、bitemporal、known_at、effective_at、as-of、missingness、survivorship、adjustment、roll、FX conversion、quality tests、DatasetVersion、checksum、lineage、freshness、schema drift。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把时点、版本和质量检查标准化。数据授权与供应商责任不由平台代替。</w:t>
            </w:r>
          </w:p>
        </w:tc>
      </w:tr>
      <w:tr>
        <w:trPr>
          <w:cantSplit w:val="true"/>
        </w:trPr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因子</w:t>
            </w:r>
          </w:p>
        </w:tc>
        <w:tc>
          <w:tcPr>
            <w:tcW w:type="dxa" w:w="4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30 个 alpha_lite；44 个算子注册键含别名；IC、Rank IC、IC-IR、Newey-West t、IC decay、layered backtest、monotonicity、Spearman redundancy、crowding、capacity、factor family、retirement。</w:t>
            </w:r>
          </w:p>
        </w:tc>
        <w:tc>
          <w:tcPr>
            <w:tcW w:type="dxa" w:w="31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入门人员能组合和评估因子。经济含义、阈值、容量参数和去留仍由研究员决定。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标签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raw return、excess return、cross-sectional rank、vol-adjusted return、triple barrier、meta-labeling。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常用标签有固定实现。horizon、censoring、barrier 与 conditioning set 仍是方法学选择。</w:t>
            </w:r>
          </w:p>
        </w:tc>
      </w:tr>
      <w:tr>
        <w:trPr>
          <w:cantSplit w:val="true"/>
        </w:trPr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</w:t>
            </w:r>
          </w:p>
        </w:tc>
        <w:tc>
          <w:tcPr>
            <w:tcW w:type="dxa" w:w="4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9 类 ML：LGBM、XGBoost、CatBoost、Logistic Regression、Random Forest、Extra Trees、Ridge、Lasso、Elastic Net；10 类 DL：LSTM、GRU、ALSTM、MLP、TCN、Transformer、TFT、N-BEATS、N-HiTS、DeepAR。</w:t>
            </w:r>
          </w:p>
        </w:tc>
        <w:tc>
          <w:tcPr>
            <w:tcW w:type="dxa" w:w="31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模型卡、训练入口和架构可复用。选模、超参、稳定性、可解释性和依赖可用性仍需验证。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验证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Purged K-fold、Embargo、walk-forward、CPCV、PBO/CSCV、DSR、PSR、MinTRL、moving-block Bootstrap Sharpe CI、honest-N、multiple testing、split conformal、CQR、ACI、abstain。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把过拟合、样本和不确定性显式化。是否适用、阈值和放宽代价仍需方法学负责人签字。</w:t>
            </w:r>
          </w:p>
        </w:tc>
      </w:tr>
      <w:tr>
        <w:trPr>
          <w:cantSplit w:val="true"/>
        </w:trPr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信号与组合</w:t>
            </w:r>
          </w:p>
        </w:tc>
        <w:tc>
          <w:tcPr>
            <w:tcW w:type="dxa" w:w="4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direction/magnitude/confidence；Platt/isotonic；confidence filter；regime gate；conformal abstain；equal weight；mean-variance；risk parity；HRP；shrinkage；independent bets；constraints；capacity sizing。</w:t>
            </w:r>
          </w:p>
        </w:tc>
        <w:tc>
          <w:tcPr>
            <w:tcW w:type="dxa" w:w="31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从模型输出到仓位有中间契约。风险预算、short、冲击和资金规模仍由投资与风控决定。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回测与归因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BacktestVenue；资产分类成本；PBO/DSR/Bootstrap 证据门；Brinson allocation/selection/interaction；returns-based factor attribution；TCA/cost drift。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结果不只剩一条净值线。benchmark、成本口径、归因模型和残差解释仍需专业判断。</w:t>
            </w:r>
          </w:p>
        </w:tc>
      </w:tr>
      <w:tr>
        <w:trPr>
          <w:cantSplit w:val="true"/>
        </w:trPr>
        <w:tc>
          <w:tcPr>
            <w:tcW w:type="dxa" w:w="15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监控与退役</w:t>
            </w:r>
          </w:p>
        </w:tc>
        <w:tc>
          <w:tcPr>
            <w:tcW w:type="dxa" w:w="470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rolling PSR、CUSUM、Page-Hinkley、PSI、IC decay、cost drift；bull/bear/range/crisis 规则状态；factor lifecycle；paper/testnet/live ladder；kill switch。</w:t>
            </w:r>
          </w:p>
        </w:tc>
        <w:tc>
          <w:tcPr>
            <w:tcW w:type="dxa" w:w="3160"/>
            <w:shd w:fill="FBFCF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检测器和状态迁移有固定接口。真数据接线、阈值标定、告警处置和真实资金安全仍需单独验收。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数学与复现</w:t>
            </w:r>
          </w:p>
        </w:tc>
        <w:tc>
          <w:tcPr>
            <w:tcW w:type="dxa" w:w="4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TheorySpec、MathematicalArtifact、ImplementationSpec、TheoryImplementationBinding、ConsistencyCheck、MethodologyChoiceRecord、ResponsibilityDisclosureRecord、RDP。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6"/>
              </w:rPr>
              <w:t>公式、实现、测试、运行和责任可以相互引用。证明质量与 waiver 决策仍需独立审查。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附录 B：本材料的核验依据</w:t>
      </w:r>
    </w:p>
    <w:p>
      <w:pPr>
        <w:keepLines/>
      </w:pPr>
      <w:r>
        <w:t>以下路径用于核验定位、范围、方法和生命周期。文件处于当前本地检出，后续变更可能改变结论。</w:t>
      </w:r>
    </w:p>
    <w:p>
      <w:pPr>
        <w:pStyle w:val="QuantBTBullet"/>
        <w:numPr>
          <w:ilvl w:val="0"/>
          <w:numId w:val="10"/>
        </w:numPr>
        <w:keepLines/>
      </w:pPr>
      <w:r>
        <w:t>README.md：当前产品范围、A 股与加密边界、快速启动、演示和历史测试记录。</w:t>
      </w:r>
    </w:p>
    <w:p>
      <w:pPr>
        <w:pStyle w:val="QuantBTBullet"/>
        <w:numPr>
          <w:ilvl w:val="0"/>
          <w:numId w:val="10"/>
        </w:numPr>
        <w:keepLines/>
      </w:pPr>
      <w:r>
        <w:t>dev/GOAL.md：终态定位、QRO、Research Graph、多台工作系统、生命周期、方法学、模型治理和 RDP。</w:t>
      </w:r>
    </w:p>
    <w:p>
      <w:pPr>
        <w:pStyle w:val="QuantBTBullet"/>
        <w:numPr>
          <w:ilvl w:val="0"/>
          <w:numId w:val="10"/>
        </w:numPr>
        <w:keepLines/>
      </w:pPr>
      <w:r>
        <w:t>docs/user-manual.md、docs/strategy-dev-guide.md、docs/data-connector-guide.md：当前用户路径与模块入口。</w:t>
      </w:r>
    </w:p>
    <w:p>
      <w:pPr>
        <w:pStyle w:val="QuantBTBullet"/>
        <w:numPr>
          <w:ilvl w:val="0"/>
          <w:numId w:val="10"/>
        </w:numPr>
        <w:keepLines/>
      </w:pPr>
      <w:r>
        <w:t>app/backend/app/factor_factory/：alpha_lite、operators、IC、分层、相关、生命周期与容量相关实现。</w:t>
      </w:r>
    </w:p>
    <w:p>
      <w:pPr>
        <w:pStyle w:val="QuantBTBullet"/>
        <w:numPr>
          <w:ilvl w:val="0"/>
          <w:numId w:val="10"/>
        </w:numPr>
        <w:keepLines/>
      </w:pPr>
      <w:r>
        <w:t>app/backend/app/labels/、models/、signals/、portfolio/：标签、ML/DL、交叉验证、信号和组合。</w:t>
      </w:r>
    </w:p>
    <w:p>
      <w:pPr>
        <w:pStyle w:val="QuantBTBullet"/>
        <w:numPr>
          <w:ilvl w:val="0"/>
          <w:numId w:val="10"/>
        </w:numPr>
        <w:keepLines/>
      </w:pPr>
      <w:r>
        <w:t>app/backend/app/eval/：PBO、DSR/PSR/MinTRL、Bootstrap、Conformal、Brinson、因子收益归因与 evidence gate。</w:t>
      </w:r>
    </w:p>
    <w:p>
      <w:pPr>
        <w:pStyle w:val="QuantBTBullet"/>
        <w:numPr>
          <w:ilvl w:val="0"/>
          <w:numId w:val="10"/>
        </w:numPr>
        <w:keepLines/>
      </w:pPr>
      <w:r>
        <w:t>app/backend/app/hypothesis/、lineage/、qro/、research_os/：假设卡、honest-N、数学脊柱、对象与治理状态。</w:t>
      </w:r>
    </w:p>
    <w:p>
      <w:pPr>
        <w:pStyle w:val="QuantBTBullet"/>
        <w:numPr>
          <w:ilvl w:val="0"/>
          <w:numId w:val="10"/>
        </w:numPr>
        <w:keepLines/>
      </w:pPr>
      <w:r>
        <w:t>app/backend/app/regime/、monitor/、execution/、risk/、security/：状态识别、漂移、成本、执行边界、风控与安全。</w:t>
      </w:r>
    </w:p>
    <w:p>
      <w:pPr>
        <w:pStyle w:val="QuantBTBullet"/>
        <w:numPr>
          <w:ilvl w:val="0"/>
          <w:numId w:val="10"/>
        </w:numPr>
        <w:keepLines/>
      </w:pPr>
      <w:r>
        <w:t>docs/model_cards/*.md：19 张模型卡的 key、family 与 runnable 元数据。</w:t>
      </w:r>
    </w:p>
    <w:p>
      <w:pPr>
        <w:spacing w:before="120" w:after="200" w:line="269" w:lineRule="auto"/>
        <w:ind w:left="144" w:right="144"/>
        <w:shd w:fill="F4F6F9"/>
        <w:pBdr>
          <w:left w:val="single" w:sz="18" w:space="8" w:color="9B1C1C"/>
        </w:pBdr>
        <w:keepLines/>
      </w:pPr>
      <w:r>
        <w:rPr>
          <w:rFonts w:ascii="Arial Unicode MS" w:hAnsi="Arial Unicode MS" w:eastAsia="Arial Unicode MS"/>
          <w:b/>
          <w:color w:val="9B1C1C"/>
          <w:sz w:val="21"/>
        </w:rPr>
        <w:t>Unqueried：</w:t>
      </w:r>
      <w:r>
        <w:rPr>
          <w:rFonts w:ascii="Arial Unicode MS" w:hAnsi="Arial Unicode MS" w:eastAsia="Arial Unicode MS"/>
          <w:color w:val="222222"/>
          <w:sz w:val="21"/>
        </w:rPr>
        <w:t>本次没有查询 GitHub PR、CI 运行、部署平台、生产端点、真实数据供应商、Binance 账户或量化部门 UAT。材料中的生产与验收状态均未据此补全。</w:t>
      </w:r>
    </w:p>
    <w:p>
      <w:pPr>
        <w:spacing w:before="120" w:after="200" w:line="269" w:lineRule="auto"/>
        <w:ind w:left="144" w:right="144"/>
        <w:shd w:fill="EAF1F8"/>
        <w:pBdr>
          <w:left w:val="single" w:sz="18" w:space="8" w:color="1F4D78"/>
        </w:pBdr>
        <w:keepLines/>
      </w:pPr>
      <w:r>
        <w:rPr>
          <w:rFonts w:ascii="Arial Unicode MS" w:hAnsi="Arial Unicode MS" w:eastAsia="Arial Unicode MS"/>
          <w:b/>
          <w:color w:val="17365D"/>
          <w:sz w:val="21"/>
        </w:rPr>
        <w:t>文档使用建议：</w:t>
      </w:r>
      <w:r>
        <w:rPr>
          <w:rFonts w:ascii="Arial Unicode MS" w:hAnsi="Arial Unicode MS" w:eastAsia="Arial Unicode MS"/>
          <w:color w:val="222222"/>
          <w:sz w:val="21"/>
        </w:rPr>
        <w:t>给部门经理时可以先发正文，附录保留作技术追问。若进入试点，应另建一份验证清单，逐条填入负责人、命令、证据路径、结果和未验证项。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Arial Unicode MS" w:hAnsi="Arial Unicode MS" w:eastAsia="Arial Unicode MS"/>
        <w:color w:val="5F6368"/>
        <w:sz w:val="16"/>
      </w:rPr>
      <w:t>面向私募量化部门的内部评估材料</w:t>
    </w:r>
    <w:r>
      <w:rPr>
        <w:rFonts w:ascii="Arial Unicode MS" w:hAnsi="Arial Unicode MS" w:eastAsia="Arial Unicode MS"/>
        <w:color w:val="5F6368"/>
        <w:sz w:val="16"/>
      </w:rPr>
      <w:tab/>
      <w:t xml:space="preserve">第 </w:t>
    </w:r>
    <w:r>
      <w:rPr>
        <w:rFonts w:ascii="Arial Unicode MS" w:hAnsi="Arial Unicode MS" w:eastAsia="Arial Unicode MS"/>
        <w:color w:val="5F6368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hAnsi="Arial Unicode MS" w:eastAsia="Arial Unicode MS"/>
        <w:color w:val="5F636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 Unicode MS" w:hAnsi="Arial Unicode MS" w:eastAsia="Arial Unicode MS"/>
        <w:color w:val="5F6368"/>
        <w:sz w:val="16"/>
      </w:rPr>
      <w:t>QuantBT  |  项目评估说明</w:t>
    </w:r>
    <w:r>
      <w:rPr>
        <w:rFonts w:ascii="Arial Unicode MS" w:hAnsi="Arial Unicode MS" w:eastAsia="Arial Unicode MS"/>
        <w:color w:val="5F6368"/>
        <w:sz w:val="16"/>
      </w:rPr>
      <w:tab/>
      <w:t>内部交流材料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antBTTitle">
    <w:name w:val="QuantBT Title"/>
    <w:pPr>
      <w:keepNext/>
      <w:spacing w:before="0" w:after="160" w:line="240" w:lineRule="auto"/>
    </w:pPr>
    <w:rPr>
      <w:rFonts w:ascii="Arial Unicode MS" w:hAnsi="Arial Unicode MS" w:eastAsia="Arial Unicode MS"/>
      <w:b/>
      <w:color w:val="17365D"/>
      <w:sz w:val="58"/>
    </w:rPr>
  </w:style>
  <w:style w:type="paragraph" w:customStyle="1" w:styleId="QuantBTSubtitle">
    <w:name w:val="QuantBT Subtitle"/>
    <w:pPr>
      <w:keepNext/>
      <w:spacing w:before="0" w:after="360" w:line="276" w:lineRule="auto"/>
    </w:pPr>
    <w:rPr>
      <w:rFonts w:ascii="Arial Unicode MS" w:hAnsi="Arial Unicode MS" w:eastAsia="Arial Unicode MS"/>
      <w:color w:val="1F4D78"/>
      <w:sz w:val="28"/>
    </w:rPr>
  </w:style>
  <w:style w:type="paragraph" w:customStyle="1" w:styleId="QuantBTKicker">
    <w:name w:val="QuantBT Kicker"/>
    <w:pPr>
      <w:keepNext/>
      <w:spacing w:before="0" w:after="140"/>
    </w:pPr>
    <w:rPr>
      <w:rFonts w:ascii="Arial Unicode MS" w:hAnsi="Arial Unicode MS" w:eastAsia="Arial Unicode MS"/>
      <w:b/>
      <w:color w:val="2E74B5"/>
      <w:sz w:val="19"/>
    </w:rPr>
  </w:style>
  <w:style w:type="paragraph" w:customStyle="1" w:styleId="QuantBTSource">
    <w:name w:val="QuantBT Source"/>
    <w:pPr>
      <w:spacing w:before="60" w:after="160" w:line="252" w:lineRule="auto"/>
    </w:pPr>
    <w:rPr>
      <w:rFonts w:ascii="Arial Unicode MS" w:hAnsi="Arial Unicode MS" w:eastAsia="Arial Unicode MS"/>
      <w:color w:val="5F6368"/>
      <w:sz w:val="17"/>
    </w:rPr>
  </w:style>
  <w:style w:type="paragraph" w:customStyle="1" w:styleId="QuantBTSmall">
    <w:name w:val="QuantBT Small"/>
    <w:pPr>
      <w:spacing w:before="0" w:after="80" w:line="259" w:lineRule="auto"/>
    </w:pPr>
    <w:rPr>
      <w:rFonts w:ascii="Arial Unicode MS" w:hAnsi="Arial Unicode MS" w:eastAsia="Arial Unicode MS"/>
      <w:color w:val="222222"/>
      <w:sz w:val="19"/>
    </w:rPr>
  </w:style>
  <w:style w:type="paragraph" w:customStyle="1" w:styleId="QuantBTBullet">
    <w:name w:val="QuantBT Bullet"/>
    <w:pPr>
      <w:spacing w:after="160" w:line="280" w:lineRule="auto"/>
      <w:ind w:left="720" w:hanging="360"/>
    </w:pPr>
    <w:rPr>
      <w:rFonts w:ascii="Arial Unicode MS" w:hAnsi="Arial Unicode MS" w:eastAsia="Arial Unicode MS"/>
      <w:color w:val="222222"/>
      <w:sz w:val="21"/>
    </w:rPr>
  </w:style>
  <w:style w:type="paragraph" w:customStyle="1" w:styleId="QuantBTNumber">
    <w:name w:val="QuantBT Number"/>
    <w:pPr>
      <w:spacing w:after="160" w:line="280" w:lineRule="auto"/>
      <w:ind w:left="720" w:hanging="360"/>
    </w:pPr>
    <w:rPr>
      <w:rFonts w:ascii="Arial Unicode MS" w:hAnsi="Arial Unicode MS" w:eastAsia="Arial Unicode MS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QuantBT 项目评估说明</dc:title>
  <dc:subject>面向私募量化部门的研究、验证与治理工作台</dc:subject>
  <dc:creator/>
  <cp:keywords>QuantBT, 量化研究, 方法学, 治理, 生命周期, 私募</cp:keywords>
  <dc:description/>
  <cp:lastModifiedBy/>
  <cp:revision>1</cp:revision>
  <dcterms:created xsi:type="dcterms:W3CDTF">2026-07-13T13:50:00Z</dcterms:created>
  <dcterms:modified xsi:type="dcterms:W3CDTF">2026-07-13T13:50:00Z</dcterms:modified>
  <cp:category/>
</cp:coreProperties>
</file>