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240"/>
      </w:pPr>
    </w:p>
    <w:p>
      <w:pPr>
        <w:pStyle w:val="QuantBTKicker"/>
        <w:jc w:val="center"/>
      </w:pPr>
      <w:r>
        <w:t>GOAL 完整终态 · C 端产品能力报告</w:t>
      </w:r>
    </w:p>
    <w:p>
      <w:pPr>
        <w:pStyle w:val="QuantBTTitle"/>
        <w:jc w:val="center"/>
      </w:pPr>
      <w:r>
        <w:t>QuantBT</w:t>
      </w:r>
    </w:p>
    <w:p>
      <w:pPr>
        <w:pStyle w:val="QuantBTSubtitle"/>
        <w:jc w:val="center"/>
      </w:pPr>
      <w:r>
        <w:t>一个人，也能拥有一套机构级量化研究部门</w:t>
      </w:r>
    </w:p>
    <w:p>
      <w:pPr>
        <w:spacing w:after="1280"/>
        <w:jc w:val="center"/>
      </w:pPr>
      <w:r>
        <w:rPr>
          <w:rFonts w:ascii="Arial Unicode MS" w:hAnsi="Arial Unicode MS" w:eastAsia="Arial Unicode MS"/>
          <w:b/>
          <w:color w:val="1F4D78"/>
          <w:sz w:val="23"/>
        </w:rPr>
        <w:t>面向所有公开二级市场的研究、验证、治理与受控执行操作系统</w:t>
      </w:r>
    </w:p>
    <w:p>
      <w:pPr>
        <w:pStyle w:val="QuantBTSmall"/>
        <w:jc w:val="center"/>
      </w:pPr>
      <w:r>
        <w:rPr>
          <w:rFonts w:ascii="Arial Unicode MS" w:hAnsi="Arial Unicode MS" w:eastAsia="Arial Unicode MS"/>
          <w:b/>
          <w:color w:val="17365D"/>
          <w:sz w:val="18"/>
        </w:rPr>
        <w:t>阅读对象：</w:t>
      </w:r>
      <w:r>
        <w:rPr>
          <w:rFonts w:ascii="Arial Unicode MS" w:hAnsi="Arial Unicode MS" w:eastAsia="Arial Unicode MS"/>
          <w:color w:val="222222"/>
          <w:sz w:val="18"/>
        </w:rPr>
        <w:t>个人量化研究者、交易员、金融工程学习者、专业投资者及小型研究团队</w:t>
      </w:r>
    </w:p>
    <w:p>
      <w:pPr>
        <w:pStyle w:val="QuantBTSmall"/>
        <w:jc w:val="center"/>
      </w:pPr>
      <w:r>
        <w:rPr>
          <w:rFonts w:ascii="Arial Unicode MS" w:hAnsi="Arial Unicode MS" w:eastAsia="Arial Unicode MS"/>
          <w:b/>
          <w:color w:val="17365D"/>
          <w:sz w:val="18"/>
        </w:rPr>
        <w:t>报告口径：</w:t>
      </w:r>
      <w:r>
        <w:rPr>
          <w:rFonts w:ascii="Arial Unicode MS" w:hAnsi="Arial Unicode MS" w:eastAsia="Arial Unicode MS"/>
          <w:color w:val="222222"/>
          <w:sz w:val="18"/>
        </w:rPr>
        <w:t>dev/GOAL.md 所定义的完整最终形态</w:t>
      </w:r>
    </w:p>
    <w:p>
      <w:pPr>
        <w:pStyle w:val="QuantBTSmall"/>
        <w:jc w:val="center"/>
      </w:pPr>
      <w:r>
        <w:rPr>
          <w:rFonts w:ascii="Arial Unicode MS" w:hAnsi="Arial Unicode MS" w:eastAsia="Arial Unicode MS"/>
          <w:b/>
          <w:color w:val="17365D"/>
          <w:sz w:val="18"/>
        </w:rPr>
        <w:t>编制日期：</w:t>
      </w:r>
      <w:r>
        <w:rPr>
          <w:rFonts w:ascii="Arial Unicode MS" w:hAnsi="Arial Unicode MS" w:eastAsia="Arial Unicode MS"/>
          <w:color w:val="222222"/>
          <w:sz w:val="18"/>
        </w:rPr>
        <w:t>2026 年 7 月 13 日</w:t>
      </w:r>
    </w:p>
    <w:p>
      <w:pPr>
        <w:spacing w:before="120" w:after="200" w:line="269" w:lineRule="auto"/>
        <w:ind w:left="144" w:right="144"/>
        <w:shd w:fill="FFF8E8"/>
        <w:pBdr>
          <w:left w:val="single" w:sz="18" w:space="8" w:color="7A5A00"/>
        </w:pBdr>
        <w:keepLines/>
      </w:pPr>
      <w:r>
        <w:rPr>
          <w:rFonts w:ascii="Arial Unicode MS" w:hAnsi="Arial Unicode MS" w:eastAsia="Arial Unicode MS"/>
          <w:b/>
          <w:color w:val="7A5A00"/>
          <w:sz w:val="21"/>
        </w:rPr>
        <w:t>终态说明：</w:t>
      </w:r>
      <w:r>
        <w:rPr>
          <w:rFonts w:ascii="Arial Unicode MS" w:hAnsi="Arial Unicode MS" w:eastAsia="Arial Unicode MS"/>
          <w:color w:val="222222"/>
          <w:sz w:val="21"/>
        </w:rPr>
        <w:t>本报告描述 QuantBT 的 GOAL 完整终态，用于说明产品最终要具备的机构能力、研究能力和生命周期。它不是当前版本的上线清单，也不把尚未验收的能力写成已经可用。具体购买版本能使用哪些市场、数据源、模型、券商或交易所连接，应以当期发布说明和验收结果为准。</w:t>
      </w:r>
    </w:p>
    <w:p>
      <w:r>
        <w:br w:type="page"/>
      </w:r>
    </w:p>
    <w:p>
      <w:pPr>
        <w:pStyle w:val="QuantBTTOCHeading"/>
      </w:pPr>
      <w:r>
        <w:t>目录</w:t>
      </w:r>
    </w:p>
    <w:p>
      <w:pPr>
        <w:pStyle w:val="QuantBTSmall"/>
        <w:spacing w:after="200"/>
      </w:pPr>
      <w:r>
        <w:t>目录项可在 Word 或 WPS 中点击跳转。页码按本次生成版式固定。</w:t>
      </w:r>
    </w:p>
    <w:p>
      <w:pPr>
        <w:pStyle w:val="QuantBTTOCEntry"/>
        <w:tabs>
          <w:tab w:pos="9144" w:val="right" w:leader="dot"/>
        </w:tabs>
      </w:pPr>
      <w:hyperlink w:anchor="sec01">
        <w:r>
          <w:rPr>
            <w:rFonts w:ascii="Arial Unicode MS" w:hAnsi="Arial Unicode MS" w:eastAsia="Arial Unicode MS"/>
            <w:color w:val="1F4D78"/>
          </w:rPr>
          <w:t>1. 终态定位与购买理由</w:t>
        </w:r>
      </w:hyperlink>
      <w:r>
        <w:rPr>
          <w:rFonts w:ascii="Arial Unicode MS" w:hAnsi="Arial Unicode MS" w:eastAsia="Arial Unicode MS"/>
          <w:b/>
          <w:color w:val="5F6368"/>
          <w:sz w:val="18"/>
        </w:rPr>
        <w:tab/>
        <w:t>3</w:t>
      </w:r>
    </w:p>
    <w:p>
      <w:pPr>
        <w:pStyle w:val="QuantBTTOCEntry"/>
        <w:tabs>
          <w:tab w:pos="9144" w:val="right" w:leader="dot"/>
        </w:tabs>
      </w:pPr>
      <w:hyperlink w:anchor="sec02">
        <w:r>
          <w:rPr>
            <w:rFonts w:ascii="Arial Unicode MS" w:hAnsi="Arial Unicode MS" w:eastAsia="Arial Unicode MS"/>
            <w:color w:val="1F4D78"/>
          </w:rPr>
          <w:t>2. 一个人背后的机构级量化部门</w:t>
        </w:r>
      </w:hyperlink>
      <w:r>
        <w:rPr>
          <w:rFonts w:ascii="Arial Unicode MS" w:hAnsi="Arial Unicode MS" w:eastAsia="Arial Unicode MS"/>
          <w:b/>
          <w:color w:val="5F6368"/>
          <w:sz w:val="18"/>
        </w:rPr>
        <w:tab/>
        <w:t>4</w:t>
      </w:r>
    </w:p>
    <w:p>
      <w:pPr>
        <w:pStyle w:val="QuantBTTOCEntry"/>
        <w:tabs>
          <w:tab w:pos="9144" w:val="right" w:leader="dot"/>
        </w:tabs>
      </w:pPr>
      <w:hyperlink w:anchor="sec03">
        <w:r>
          <w:rPr>
            <w:rFonts w:ascii="Arial Unicode MS" w:hAnsi="Arial Unicode MS" w:eastAsia="Arial Unicode MS"/>
            <w:color w:val="1F4D78"/>
          </w:rPr>
          <w:t>3. 统一研究链与九个工作台</w:t>
        </w:r>
      </w:hyperlink>
      <w:r>
        <w:rPr>
          <w:rFonts w:ascii="Arial Unicode MS" w:hAnsi="Arial Unicode MS" w:eastAsia="Arial Unicode MS"/>
          <w:b/>
          <w:color w:val="5F6368"/>
          <w:sz w:val="18"/>
        </w:rPr>
        <w:tab/>
        <w:t>5</w:t>
      </w:r>
    </w:p>
    <w:p>
      <w:pPr>
        <w:pStyle w:val="QuantBTTOCEntry"/>
        <w:tabs>
          <w:tab w:pos="9144" w:val="right" w:leader="dot"/>
        </w:tabs>
      </w:pPr>
      <w:hyperlink w:anchor="sec04">
        <w:r>
          <w:rPr>
            <w:rFonts w:ascii="Arial Unicode MS" w:hAnsi="Arial Unicode MS" w:eastAsia="Arial Unicode MS"/>
            <w:color w:val="1F4D78"/>
          </w:rPr>
          <w:t>4. 市场、数据与接入</w:t>
        </w:r>
      </w:hyperlink>
      <w:r>
        <w:rPr>
          <w:rFonts w:ascii="Arial Unicode MS" w:hAnsi="Arial Unicode MS" w:eastAsia="Arial Unicode MS"/>
          <w:b/>
          <w:color w:val="5F6368"/>
          <w:sz w:val="18"/>
        </w:rPr>
        <w:tab/>
        <w:t>7</w:t>
      </w:r>
    </w:p>
    <w:p>
      <w:pPr>
        <w:pStyle w:val="QuantBTTOCEntry"/>
        <w:tabs>
          <w:tab w:pos="9144" w:val="right" w:leader="dot"/>
        </w:tabs>
      </w:pPr>
      <w:hyperlink w:anchor="sec05">
        <w:r>
          <w:rPr>
            <w:rFonts w:ascii="Arial Unicode MS" w:hAnsi="Arial Unicode MS" w:eastAsia="Arial Unicode MS"/>
            <w:color w:val="1F4D78"/>
          </w:rPr>
          <w:t>5. 文献、证据与数学研究</w:t>
        </w:r>
      </w:hyperlink>
      <w:r>
        <w:rPr>
          <w:rFonts w:ascii="Arial Unicode MS" w:hAnsi="Arial Unicode MS" w:eastAsia="Arial Unicode MS"/>
          <w:b/>
          <w:color w:val="5F6368"/>
          <w:sz w:val="18"/>
        </w:rPr>
        <w:tab/>
        <w:t>8</w:t>
      </w:r>
    </w:p>
    <w:p>
      <w:pPr>
        <w:pStyle w:val="QuantBTTOCEntry"/>
        <w:tabs>
          <w:tab w:pos="9144" w:val="right" w:leader="dot"/>
        </w:tabs>
      </w:pPr>
      <w:hyperlink w:anchor="sec06">
        <w:r>
          <w:rPr>
            <w:rFonts w:ascii="Arial Unicode MS" w:hAnsi="Arial Unicode MS" w:eastAsia="Arial Unicode MS"/>
            <w:color w:val="1F4D78"/>
          </w:rPr>
          <w:t>6. 因子、标签、模型、信号与策略</w:t>
        </w:r>
      </w:hyperlink>
      <w:r>
        <w:rPr>
          <w:rFonts w:ascii="Arial Unicode MS" w:hAnsi="Arial Unicode MS" w:eastAsia="Arial Unicode MS"/>
          <w:b/>
          <w:color w:val="5F6368"/>
          <w:sz w:val="18"/>
        </w:rPr>
        <w:tab/>
        <w:t>9</w:t>
      </w:r>
    </w:p>
    <w:p>
      <w:pPr>
        <w:pStyle w:val="QuantBTTOCEntry"/>
        <w:tabs>
          <w:tab w:pos="9144" w:val="right" w:leader="dot"/>
        </w:tabs>
      </w:pPr>
      <w:hyperlink w:anchor="sec07">
        <w:r>
          <w:rPr>
            <w:rFonts w:ascii="Arial Unicode MS" w:hAnsi="Arial Unicode MS" w:eastAsia="Arial Unicode MS"/>
            <w:color w:val="1F4D78"/>
          </w:rPr>
          <w:t>7. 研究方法全景</w:t>
        </w:r>
      </w:hyperlink>
      <w:r>
        <w:rPr>
          <w:rFonts w:ascii="Arial Unicode MS" w:hAnsi="Arial Unicode MS" w:eastAsia="Arial Unicode MS"/>
          <w:b/>
          <w:color w:val="5F6368"/>
          <w:sz w:val="18"/>
        </w:rPr>
        <w:tab/>
        <w:t>10</w:t>
      </w:r>
    </w:p>
    <w:p>
      <w:pPr>
        <w:pStyle w:val="QuantBTTOCEntry"/>
        <w:tabs>
          <w:tab w:pos="9144" w:val="right" w:leader="dot"/>
        </w:tabs>
      </w:pPr>
      <w:hyperlink w:anchor="sec08">
        <w:r>
          <w:rPr>
            <w:rFonts w:ascii="Arial Unicode MS" w:hAnsi="Arial Unicode MS" w:eastAsia="Arial Unicode MS"/>
            <w:color w:val="1F4D78"/>
          </w:rPr>
          <w:t>8. 回测验证与过拟合防线</w:t>
        </w:r>
      </w:hyperlink>
      <w:r>
        <w:rPr>
          <w:rFonts w:ascii="Arial Unicode MS" w:hAnsi="Arial Unicode MS" w:eastAsia="Arial Unicode MS"/>
          <w:b/>
          <w:color w:val="5F6368"/>
          <w:sz w:val="18"/>
        </w:rPr>
        <w:tab/>
        <w:t>12</w:t>
      </w:r>
    </w:p>
    <w:p>
      <w:pPr>
        <w:pStyle w:val="QuantBTTOCEntry"/>
        <w:tabs>
          <w:tab w:pos="9144" w:val="right" w:leader="dot"/>
        </w:tabs>
      </w:pPr>
      <w:hyperlink w:anchor="sec09">
        <w:r>
          <w:rPr>
            <w:rFonts w:ascii="Arial Unicode MS" w:hAnsi="Arial Unicode MS" w:eastAsia="Arial Unicode MS"/>
            <w:color w:val="1F4D78"/>
          </w:rPr>
          <w:t>9. 组合、成本、归因与监控</w:t>
        </w:r>
      </w:hyperlink>
      <w:r>
        <w:rPr>
          <w:rFonts w:ascii="Arial Unicode MS" w:hAnsi="Arial Unicode MS" w:eastAsia="Arial Unicode MS"/>
          <w:b/>
          <w:color w:val="5F6368"/>
          <w:sz w:val="18"/>
        </w:rPr>
        <w:tab/>
        <w:t>13</w:t>
      </w:r>
    </w:p>
    <w:p>
      <w:pPr>
        <w:pStyle w:val="QuantBTTOCEntry"/>
        <w:tabs>
          <w:tab w:pos="9144" w:val="right" w:leader="dot"/>
        </w:tabs>
      </w:pPr>
      <w:hyperlink w:anchor="sec10">
        <w:r>
          <w:rPr>
            <w:rFonts w:ascii="Arial Unicode MS" w:hAnsi="Arial Unicode MS" w:eastAsia="Arial Unicode MS"/>
            <w:color w:val="1F4D78"/>
          </w:rPr>
          <w:t>10. Agent Shell 与多智能体研究 OS</w:t>
        </w:r>
      </w:hyperlink>
      <w:r>
        <w:rPr>
          <w:rFonts w:ascii="Arial Unicode MS" w:hAnsi="Arial Unicode MS" w:eastAsia="Arial Unicode MS"/>
          <w:b/>
          <w:color w:val="5F6368"/>
          <w:sz w:val="18"/>
        </w:rPr>
        <w:tab/>
        <w:t>14</w:t>
      </w:r>
    </w:p>
    <w:p>
      <w:pPr>
        <w:pStyle w:val="QuantBTTOCEntry"/>
        <w:tabs>
          <w:tab w:pos="9144" w:val="right" w:leader="dot"/>
        </w:tabs>
      </w:pPr>
      <w:hyperlink w:anchor="sec11">
        <w:r>
          <w:rPr>
            <w:rFonts w:ascii="Arial Unicode MS" w:hAnsi="Arial Unicode MS" w:eastAsia="Arial Unicode MS"/>
            <w:color w:val="1F4D78"/>
          </w:rPr>
          <w:t>11. 治理、模型风险与安全</w:t>
        </w:r>
      </w:hyperlink>
      <w:r>
        <w:rPr>
          <w:rFonts w:ascii="Arial Unicode MS" w:hAnsi="Arial Unicode MS" w:eastAsia="Arial Unicode MS"/>
          <w:b/>
          <w:color w:val="5F6368"/>
          <w:sz w:val="18"/>
        </w:rPr>
        <w:tab/>
        <w:t>15</w:t>
      </w:r>
    </w:p>
    <w:p>
      <w:pPr>
        <w:pStyle w:val="QuantBTTOCEntry"/>
        <w:tabs>
          <w:tab w:pos="9144" w:val="right" w:leader="dot"/>
        </w:tabs>
      </w:pPr>
      <w:hyperlink w:anchor="sec12">
        <w:r>
          <w:rPr>
            <w:rFonts w:ascii="Arial Unicode MS" w:hAnsi="Arial Unicode MS" w:eastAsia="Arial Unicode MS"/>
            <w:color w:val="1F4D78"/>
          </w:rPr>
          <w:t>12. 研究到实盘的执行边界</w:t>
        </w:r>
      </w:hyperlink>
      <w:r>
        <w:rPr>
          <w:rFonts w:ascii="Arial Unicode MS" w:hAnsi="Arial Unicode MS" w:eastAsia="Arial Unicode MS"/>
          <w:b/>
          <w:color w:val="5F6368"/>
          <w:sz w:val="18"/>
        </w:rPr>
        <w:tab/>
        <w:t>17</w:t>
      </w:r>
    </w:p>
    <w:p>
      <w:pPr>
        <w:pStyle w:val="QuantBTTOCEntry"/>
        <w:tabs>
          <w:tab w:pos="9144" w:val="right" w:leader="dot"/>
        </w:tabs>
      </w:pPr>
      <w:hyperlink w:anchor="sec13">
        <w:r>
          <w:rPr>
            <w:rFonts w:ascii="Arial Unicode MS" w:hAnsi="Arial Unicode MS" w:eastAsia="Arial Unicode MS"/>
            <w:color w:val="1F4D78"/>
          </w:rPr>
          <w:t>13. 全资产生命周期与交付包</w:t>
        </w:r>
      </w:hyperlink>
      <w:r>
        <w:rPr>
          <w:rFonts w:ascii="Arial Unicode MS" w:hAnsi="Arial Unicode MS" w:eastAsia="Arial Unicode MS"/>
          <w:b/>
          <w:color w:val="5F6368"/>
          <w:sz w:val="18"/>
        </w:rPr>
        <w:tab/>
        <w:t>18</w:t>
      </w:r>
    </w:p>
    <w:p>
      <w:pPr>
        <w:pStyle w:val="QuantBTTOCEntry"/>
        <w:tabs>
          <w:tab w:pos="9144" w:val="right" w:leader="dot"/>
        </w:tabs>
      </w:pPr>
      <w:hyperlink w:anchor="sec14">
        <w:r>
          <w:rPr>
            <w:rFonts w:ascii="Arial Unicode MS" w:hAnsi="Arial Unicode MS" w:eastAsia="Arial Unicode MS"/>
            <w:color w:val="1F4D78"/>
          </w:rPr>
          <w:t>14. M1–M21 终态能力全景</w:t>
        </w:r>
      </w:hyperlink>
      <w:r>
        <w:rPr>
          <w:rFonts w:ascii="Arial Unicode MS" w:hAnsi="Arial Unicode MS" w:eastAsia="Arial Unicode MS"/>
          <w:b/>
          <w:color w:val="5F6368"/>
          <w:sz w:val="18"/>
        </w:rPr>
        <w:tab/>
        <w:t>19</w:t>
      </w:r>
    </w:p>
    <w:p>
      <w:pPr>
        <w:pStyle w:val="QuantBTTOCEntry"/>
        <w:tabs>
          <w:tab w:pos="9144" w:val="right" w:leader="dot"/>
        </w:tabs>
      </w:pPr>
      <w:hyperlink w:anchor="sec15">
        <w:r>
          <w:rPr>
            <w:rFonts w:ascii="Arial Unicode MS" w:hAnsi="Arial Unicode MS" w:eastAsia="Arial Unicode MS"/>
            <w:color w:val="1F4D78"/>
          </w:rPr>
          <w:t>15. 面向个人用户的使用方式</w:t>
        </w:r>
      </w:hyperlink>
      <w:r>
        <w:rPr>
          <w:rFonts w:ascii="Arial Unicode MS" w:hAnsi="Arial Unicode MS" w:eastAsia="Arial Unicode MS"/>
          <w:b/>
          <w:color w:val="5F6368"/>
          <w:sz w:val="18"/>
        </w:rPr>
        <w:tab/>
        <w:t>21</w:t>
      </w:r>
    </w:p>
    <w:p>
      <w:pPr>
        <w:pStyle w:val="QuantBTTOCEntry"/>
        <w:tabs>
          <w:tab w:pos="9144" w:val="right" w:leader="dot"/>
        </w:tabs>
      </w:pPr>
      <w:hyperlink w:anchor="sec16">
        <w:r>
          <w:rPr>
            <w:rFonts w:ascii="Arial Unicode MS" w:hAnsi="Arial Unicode MS" w:eastAsia="Arial Unicode MS"/>
            <w:color w:val="1F4D78"/>
          </w:rPr>
          <w:t>16. 终态边界与诚实说明</w:t>
        </w:r>
      </w:hyperlink>
      <w:r>
        <w:rPr>
          <w:rFonts w:ascii="Arial Unicode MS" w:hAnsi="Arial Unicode MS" w:eastAsia="Arial Unicode MS"/>
          <w:b/>
          <w:color w:val="5F6368"/>
          <w:sz w:val="18"/>
        </w:rPr>
        <w:tab/>
        <w:t>22</w:t>
      </w:r>
    </w:p>
    <w:p>
      <w:pPr>
        <w:pStyle w:val="QuantBTTOCEntry"/>
        <w:tabs>
          <w:tab w:pos="9144" w:val="right" w:leader="dot"/>
        </w:tabs>
      </w:pPr>
      <w:hyperlink w:anchor="appA">
        <w:r>
          <w:rPr>
            <w:rFonts w:ascii="Arial Unicode MS" w:hAnsi="Arial Unicode MS" w:eastAsia="Arial Unicode MS"/>
            <w:color w:val="1F4D78"/>
          </w:rPr>
          <w:t>附录 A：GOAL 方法目录</w:t>
        </w:r>
      </w:hyperlink>
      <w:r>
        <w:rPr>
          <w:rFonts w:ascii="Arial Unicode MS" w:hAnsi="Arial Unicode MS" w:eastAsia="Arial Unicode MS"/>
          <w:b/>
          <w:color w:val="5F6368"/>
          <w:sz w:val="18"/>
        </w:rPr>
        <w:tab/>
        <w:t>24</w:t>
      </w:r>
    </w:p>
    <w:p>
      <w:pPr>
        <w:pStyle w:val="QuantBTTOCEntry"/>
        <w:tabs>
          <w:tab w:pos="9144" w:val="right" w:leader="dot"/>
        </w:tabs>
      </w:pPr>
      <w:hyperlink w:anchor="appB">
        <w:r>
          <w:rPr>
            <w:rFonts w:ascii="Arial Unicode MS" w:hAnsi="Arial Unicode MS" w:eastAsia="Arial Unicode MS"/>
            <w:color w:val="1F4D78"/>
          </w:rPr>
          <w:t>附录 B：生命周期与状态轴</w:t>
        </w:r>
      </w:hyperlink>
      <w:r>
        <w:rPr>
          <w:rFonts w:ascii="Arial Unicode MS" w:hAnsi="Arial Unicode MS" w:eastAsia="Arial Unicode MS"/>
          <w:b/>
          <w:color w:val="5F6368"/>
          <w:sz w:val="18"/>
        </w:rPr>
        <w:tab/>
        <w:t>29</w:t>
      </w:r>
    </w:p>
    <w:p>
      <w:pPr>
        <w:pStyle w:val="QuantBTTOCEntry"/>
        <w:tabs>
          <w:tab w:pos="9144" w:val="right" w:leader="dot"/>
        </w:tabs>
      </w:pPr>
      <w:hyperlink w:anchor="appC">
        <w:r>
          <w:rPr>
            <w:rFonts w:ascii="Arial Unicode MS" w:hAnsi="Arial Unicode MS" w:eastAsia="Arial Unicode MS"/>
            <w:color w:val="1F4D78"/>
          </w:rPr>
          <w:t>附录 C：术语、依据与核验边界</w:t>
        </w:r>
      </w:hyperlink>
      <w:r>
        <w:rPr>
          <w:rFonts w:ascii="Arial Unicode MS" w:hAnsi="Arial Unicode MS" w:eastAsia="Arial Unicode MS"/>
          <w:b/>
          <w:color w:val="5F6368"/>
          <w:sz w:val="18"/>
        </w:rPr>
        <w:tab/>
        <w:t>31</w:t>
      </w:r>
    </w:p>
    <w:p>
      <w:r>
        <w:br w:type="page"/>
      </w:r>
    </w:p>
    <w:p>
      <w:pPr>
        <w:pStyle w:val="Heading1"/>
        <w:keepNext/>
        <w:keepLines/>
      </w:pPr>
      <w:bookmarkStart w:id="101" w:name="sec01"/>
      <w:r>
        <w:t>1. 终态定位与购买理由</w:t>
      </w:r>
      <w:bookmarkEnd w:id="101"/>
    </w:p>
    <w:p>
      <w:pPr>
        <w:keepLines/>
      </w:pPr>
      <w:r>
        <w:t>QuantBT 的终态定义很明确：面向所有公开二级市场标的的 Agent-native、canvas-native、governance-first Institutional Quant Research-to-Execution OS。用户提出研究意图后，平台把数据、公式、代码、实验、证据、审批、运行和退役记录放在同一条可追溯链上。</w:t>
      </w:r>
    </w:p>
    <w:p>
      <w:pPr>
        <w:spacing w:before="120" w:after="200" w:line="269" w:lineRule="auto"/>
        <w:ind w:left="144" w:right="144"/>
        <w:shd w:fill="EAF1F8"/>
        <w:pBdr>
          <w:left w:val="single" w:sz="18" w:space="8" w:color="1F4D78"/>
        </w:pBdr>
        <w:keepLines/>
      </w:pPr>
      <w:r>
        <w:rPr>
          <w:rFonts w:ascii="Arial Unicode MS" w:hAnsi="Arial Unicode MS" w:eastAsia="Arial Unicode MS"/>
          <w:b/>
          <w:color w:val="17365D"/>
          <w:sz w:val="21"/>
        </w:rPr>
        <w:t>产品主张：</w:t>
      </w:r>
      <w:r>
        <w:rPr>
          <w:rFonts w:ascii="Arial Unicode MS" w:hAnsi="Arial Unicode MS" w:eastAsia="Arial Unicode MS"/>
          <w:color w:val="222222"/>
          <w:sz w:val="21"/>
        </w:rPr>
        <w:t>个人用户不必先组建数据、研究、验证、模型风险、执行和研究运营团队，也能按机构分工完成一项量化研究。最终的方法学松紧、风险选择和是否继续推进仍由用户决定。</w:t>
      </w:r>
    </w:p>
    <w:p>
      <w:pPr>
        <w:pStyle w:val="Heading2"/>
        <w:keepNext/>
        <w:keepLines/>
      </w:pPr>
      <w:r>
        <w:t>购买者实际得到什么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  <w:tblInd w:type="dxa" w:w="120"/>
      </w:tblPr>
      <w:tblGrid>
        <w:gridCol w:w="2050"/>
        <w:gridCol w:w="7310"/>
      </w:tblGrid>
      <w:tr>
        <w:trPr>
          <w:tblHeader w:val="true"/>
          <w:cantSplit w:val="true"/>
        </w:trPr>
        <w:tc>
          <w:tcPr>
            <w:tcW w:type="dxa" w:w="205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能力</w:t>
            </w:r>
          </w:p>
        </w:tc>
        <w:tc>
          <w:tcPr>
            <w:tcW w:type="dxa" w:w="731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对个人用户的意义</w:t>
            </w:r>
          </w:p>
        </w:tc>
      </w:tr>
      <w:tr>
        <w:trPr>
          <w:cantSplit w:val="true"/>
        </w:trP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统一研究对象</w:t>
            </w:r>
          </w:p>
        </w:tc>
        <w:tc>
          <w:tcPr>
            <w:tcW w:type="dxa" w:w="7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数据集、因子、标签、模型、信号、StrategyBook、策略组合、风险与执行政策使用统一身份、版本、依赖和证据引用。</w:t>
            </w:r>
          </w:p>
        </w:tc>
      </w:tr>
      <w:tr>
        <w:trPr>
          <w:cantSplit w:val="true"/>
        </w:trPr>
        <w:tc>
          <w:tcPr>
            <w:tcW w:type="dxa" w:w="205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研究过程可复现</w:t>
            </w:r>
          </w:p>
        </w:tc>
        <w:tc>
          <w:tcPr>
            <w:tcW w:type="dxa" w:w="731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同一份代码、数据版本、参数、随机种子和运行环境可以重放；失败、修改和晋级都有记录。</w:t>
            </w:r>
          </w:p>
        </w:tc>
      </w:tr>
      <w:tr>
        <w:trPr>
          <w:cantSplit w:val="true"/>
        </w:trP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方法学可选择</w:t>
            </w:r>
          </w:p>
        </w:tc>
        <w:tc>
          <w:tcPr>
            <w:tcW w:type="dxa" w:w="7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strict、standard、loose、exploratory、custom、user-waived 等路径公开展示代价、证据缺口和允许环境。</w:t>
            </w:r>
          </w:p>
        </w:tc>
      </w:tr>
      <w:tr>
        <w:trPr>
          <w:cantSplit w:val="true"/>
        </w:trPr>
        <w:tc>
          <w:tcPr>
            <w:tcW w:type="dxa" w:w="205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Agent 常驻协作</w:t>
            </w:r>
          </w:p>
        </w:tc>
        <w:tc>
          <w:tcPr>
            <w:tcW w:type="dxa" w:w="731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角色 Agent 能读上下文、拆任务、找资料、写公式、接数据、改代码、做验证、给反证并形成报告。</w:t>
            </w:r>
          </w:p>
        </w:tc>
      </w:tr>
      <w:tr>
        <w:trPr>
          <w:cantSplit w:val="true"/>
        </w:trP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资产可积累</w:t>
            </w:r>
          </w:p>
        </w:tc>
        <w:tc>
          <w:tcPr>
            <w:tcW w:type="dxa" w:w="7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失败因子、历史模型、退役策略、数据接入 Skill、验证档案和研究报告都进入可检索资产库。</w:t>
            </w:r>
          </w:p>
        </w:tc>
      </w:tr>
      <w:tr>
        <w:trPr>
          <w:cantSplit w:val="true"/>
        </w:trPr>
        <w:tc>
          <w:tcPr>
            <w:tcW w:type="dxa" w:w="205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执行受控</w:t>
            </w:r>
          </w:p>
        </w:tc>
        <w:tc>
          <w:tcPr>
            <w:tcW w:type="dxa" w:w="731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研究范围与真实交易权限分开；实盘必须经过账户权限、成本、保证金、OrderGuard、审批和 kill switch。</w:t>
            </w:r>
          </w:p>
        </w:tc>
      </w:tr>
      <w:tr>
        <w:trPr>
          <w:cantSplit w:val="true"/>
        </w:trP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交付可带走</w:t>
            </w:r>
          </w:p>
        </w:tc>
        <w:tc>
          <w:tcPr>
            <w:tcW w:type="dxa" w:w="7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每项正式研究可导出开放格式 Research Delivery Package，包含数据、数学、代码、证据、限制、复现命令和监控规则。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终态和当前版本不能混写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  <w:tblInd w:type="dxa" w:w="120"/>
      </w:tblPr>
      <w:tblGrid>
        <w:gridCol w:w="2050"/>
        <w:gridCol w:w="7310"/>
      </w:tblGrid>
      <w:tr>
        <w:trPr>
          <w:tblHeader w:val="true"/>
          <w:cantSplit w:val="true"/>
        </w:trPr>
        <w:tc>
          <w:tcPr>
            <w:tcW w:type="dxa" w:w="205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口径</w:t>
            </w:r>
          </w:p>
        </w:tc>
        <w:tc>
          <w:tcPr>
            <w:tcW w:type="dxa" w:w="731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本报告如何表达</w:t>
            </w:r>
          </w:p>
        </w:tc>
      </w:tr>
      <w:tr>
        <w:trPr>
          <w:cantSplit w:val="true"/>
        </w:trP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GOAL 终态</w:t>
            </w:r>
          </w:p>
        </w:tc>
        <w:tc>
          <w:tcPr>
            <w:tcW w:type="dxa" w:w="7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写明平台最终应覆盖的市场、工作台、方法、治理、Agent、执行和生命周期能力。</w:t>
            </w:r>
          </w:p>
        </w:tc>
      </w:tr>
      <w:tr>
        <w:trPr>
          <w:cantSplit w:val="true"/>
        </w:trPr>
        <w:tc>
          <w:tcPr>
            <w:tcW w:type="dxa" w:w="205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当前可用</w:t>
            </w:r>
          </w:p>
        </w:tc>
        <w:tc>
          <w:tcPr>
            <w:tcW w:type="dxa" w:w="731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不在本报告内作完成度承诺；须另看发布版本、实际接口、测试、CI、部署和用户验收。</w:t>
            </w:r>
          </w:p>
        </w:tc>
      </w:tr>
      <w:tr>
        <w:trPr>
          <w:cantSplit w:val="true"/>
        </w:trP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收益结果</w:t>
            </w:r>
          </w:p>
        </w:tc>
        <w:tc>
          <w:tcPr>
            <w:tcW w:type="dxa" w:w="7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平台管理研究质量与风险边界，不承诺盈利，不把回测成绩当作未来收益保证。</w:t>
            </w:r>
          </w:p>
        </w:tc>
      </w:tr>
      <w:tr>
        <w:trPr>
          <w:cantSplit w:val="true"/>
        </w:trPr>
        <w:tc>
          <w:tcPr>
            <w:tcW w:type="dxa" w:w="205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实盘权限</w:t>
            </w:r>
          </w:p>
        </w:tc>
        <w:tc>
          <w:tcPr>
            <w:tcW w:type="dxa" w:w="731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终态具备受控执行能力，不等于任一市场都默认开通 live。</w:t>
            </w:r>
          </w:p>
        </w:tc>
      </w:tr>
    </w:tbl>
    <w:p>
      <w:pPr>
        <w:spacing w:after="40"/>
      </w:pPr>
    </w:p>
    <w:p>
      <w:pPr>
        <w:pStyle w:val="QuantBTSource"/>
      </w:pPr>
      <w:r>
        <w:rPr>
          <w:rFonts w:ascii="Arial Unicode MS" w:hAnsi="Arial Unicode MS" w:eastAsia="Arial Unicode MS"/>
          <w:color w:val="5F6368"/>
          <w:sz w:val="17"/>
        </w:rPr>
        <w:t>终态依据：dev/GOAL.md §0、§1、§12、§17。</w:t>
      </w:r>
    </w:p>
    <w:p>
      <w:pPr>
        <w:pStyle w:val="Heading1"/>
        <w:keepNext/>
        <w:keepLines/>
      </w:pPr>
      <w:bookmarkStart w:id="102" w:name="sec02"/>
      <w:r>
        <w:t>2. 一个人背后的机构级量化部门</w:t>
      </w:r>
      <w:bookmarkEnd w:id="102"/>
    </w:p>
    <w:p>
      <w:pPr>
        <w:keepLines/>
      </w:pPr>
      <w:r>
        <w:t>机构能力不等于多几个功能按钮。它来自明确分工、独立复核、权限隔离、证据留存和可以追责的状态变化。QuantBT 把这些分工变成工作台、资产、角色 Agent 和门禁，个人用户在一个入口里调用。</w:t>
      </w:r>
    </w:p>
    <w:p>
      <w:pPr>
        <w:pStyle w:val="Heading2"/>
        <w:keepNext/>
        <w:keepLines/>
      </w:pPr>
      <w:r>
        <w:t>被降低门槛的机构职能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  <w:tblInd w:type="dxa" w:w="120"/>
      </w:tblPr>
      <w:tblGrid>
        <w:gridCol w:w="1850"/>
        <w:gridCol w:w="4100"/>
        <w:gridCol w:w="3410"/>
      </w:tblGrid>
      <w:tr>
        <w:trPr>
          <w:tblHeader w:val="true"/>
          <w:cantSplit w:val="true"/>
        </w:trPr>
        <w:tc>
          <w:tcPr>
            <w:tcW w:type="dxa" w:w="185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机构职能</w:t>
            </w:r>
          </w:p>
        </w:tc>
        <w:tc>
          <w:tcPr>
            <w:tcW w:type="dxa" w:w="410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QuantBT 终态承接方式</w:t>
            </w:r>
          </w:p>
        </w:tc>
        <w:tc>
          <w:tcPr>
            <w:tcW w:type="dxa" w:w="341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个人用户不再从零搭建的部分</w:t>
            </w:r>
          </w:p>
        </w:tc>
      </w:tr>
      <w:tr>
        <w:trPr>
          <w:cantSplit w:val="true"/>
        </w:trP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研究负责人</w:t>
            </w:r>
          </w:p>
        </w:tc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Coordinator / Planner、研究问题、todo、依赖、风险和验收门。</w:t>
            </w:r>
          </w:p>
        </w:tc>
        <w:tc>
          <w:tcPr>
            <w:tcW w:type="dxa" w:w="3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把模糊想法拆成可执行研究计划。</w:t>
            </w:r>
          </w:p>
        </w:tc>
      </w:tr>
      <w:tr>
        <w:trPr>
          <w:cantSplit w:val="true"/>
        </w:trPr>
        <w:tc>
          <w:tcPr>
            <w:tcW w:type="dxa" w:w="185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文献与基本面研究</w:t>
            </w:r>
          </w:p>
        </w:tc>
        <w:tc>
          <w:tcPr>
            <w:tcW w:type="dxa" w:w="410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Literature Researcher、Document Intelligence、EvidenceSpan。</w:t>
            </w:r>
          </w:p>
        </w:tc>
        <w:tc>
          <w:tcPr>
            <w:tcW w:type="dxa" w:w="341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找资料、定位原文、记录证据支持范围。</w:t>
            </w:r>
          </w:p>
        </w:tc>
      </w:tr>
      <w:tr>
        <w:trPr>
          <w:cantSplit w:val="true"/>
        </w:trP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数学研究</w:t>
            </w:r>
          </w:p>
        </w:tc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Mathematical Researcher、TheorySpec、推导、反例和一致性检查。</w:t>
            </w:r>
          </w:p>
        </w:tc>
        <w:tc>
          <w:tcPr>
            <w:tcW w:type="dxa" w:w="3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把公式、假设、单位和代码实现接起来。</w:t>
            </w:r>
          </w:p>
        </w:tc>
      </w:tr>
      <w:tr>
        <w:trPr>
          <w:cantSplit w:val="true"/>
        </w:trPr>
        <w:tc>
          <w:tcPr>
            <w:tcW w:type="dxa" w:w="185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数据工程</w:t>
            </w:r>
          </w:p>
        </w:tc>
        <w:tc>
          <w:tcPr>
            <w:tcW w:type="dxa" w:w="410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数据台、Connector、IngestionSkill、PIT、质量测试和 schema drift。</w:t>
            </w:r>
          </w:p>
        </w:tc>
        <w:tc>
          <w:tcPr>
            <w:tcW w:type="dxa" w:w="341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接入、清洗、版本化和更新监控。</w:t>
            </w:r>
          </w:p>
        </w:tc>
      </w:tr>
      <w:tr>
        <w:trPr>
          <w:cantSplit w:val="true"/>
        </w:trP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因子研究</w:t>
            </w:r>
          </w:p>
        </w:tc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Factor Engineer、Factor Library、衰减、拥挤、容量和退役。</w:t>
            </w:r>
          </w:p>
        </w:tc>
        <w:tc>
          <w:tcPr>
            <w:tcW w:type="dxa" w:w="3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创建候选并独立评估，避免把守门指标塞进生成器。</w:t>
            </w:r>
          </w:p>
        </w:tc>
      </w:tr>
      <w:tr>
        <w:trPr>
          <w:cantSplit w:val="true"/>
        </w:trPr>
        <w:tc>
          <w:tcPr>
            <w:tcW w:type="dxa" w:w="185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模型研发</w:t>
            </w:r>
          </w:p>
        </w:tc>
        <w:tc>
          <w:tcPr>
            <w:tcW w:type="dxa" w:w="410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Model Engineer、训练台、Model Registry、模型卡、护照和再认证。</w:t>
            </w:r>
          </w:p>
        </w:tc>
        <w:tc>
          <w:tcPr>
            <w:tcW w:type="dxa" w:w="341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训练、登记、验证和重大变更复核。</w:t>
            </w:r>
          </w:p>
        </w:tc>
      </w:tr>
      <w:tr>
        <w:trPr>
          <w:cantSplit w:val="true"/>
        </w:trP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信号工程</w:t>
            </w:r>
          </w:p>
        </w:tc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Signal Engineer、Signal Contract、置信度、过期、弃权和冲突处理。</w:t>
            </w:r>
          </w:p>
        </w:tc>
        <w:tc>
          <w:tcPr>
            <w:tcW w:type="dxa" w:w="3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把模型输出变成可执行前的标准信号。</w:t>
            </w:r>
          </w:p>
        </w:tc>
      </w:tr>
      <w:tr>
        <w:trPr>
          <w:cantSplit w:val="true"/>
        </w:trPr>
        <w:tc>
          <w:tcPr>
            <w:tcW w:type="dxa" w:w="185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策略与组合</w:t>
            </w:r>
          </w:p>
        </w:tc>
        <w:tc>
          <w:tcPr>
            <w:tcW w:type="dxa" w:w="410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StrategyBook Engineer、多腿表达、组合约束和策略组合。</w:t>
            </w:r>
          </w:p>
        </w:tc>
        <w:tc>
          <w:tcPr>
            <w:tcW w:type="dxa" w:w="341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管理多空腿、成本、资本账和跨策略配置。</w:t>
            </w:r>
          </w:p>
        </w:tc>
      </w:tr>
      <w:tr>
        <w:trPr>
          <w:cantSplit w:val="true"/>
        </w:trP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回测与独立验证</w:t>
            </w:r>
          </w:p>
        </w:tc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Backtest Engineer、Verifier / Critic、PBO、DSR、CPCV、bootstrap。</w:t>
            </w:r>
          </w:p>
        </w:tc>
        <w:tc>
          <w:tcPr>
            <w:tcW w:type="dxa" w:w="3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处理泄露、过拟合、多重检验和短样本。</w:t>
            </w:r>
          </w:p>
        </w:tc>
      </w:tr>
      <w:tr>
        <w:trPr>
          <w:cantSplit w:val="true"/>
        </w:trPr>
        <w:tc>
          <w:tcPr>
            <w:tcW w:type="dxa" w:w="185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风险与执行</w:t>
            </w:r>
          </w:p>
        </w:tc>
        <w:tc>
          <w:tcPr>
            <w:tcW w:type="dxa" w:w="410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Risk Analyst、Execution/Risk Desk、Live ladder、OrderGuard 和 kill switch。</w:t>
            </w:r>
          </w:p>
        </w:tc>
        <w:tc>
          <w:tcPr>
            <w:tcW w:type="dxa" w:w="341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把研究结论与真实下单权限隔开。</w:t>
            </w:r>
          </w:p>
        </w:tc>
      </w:tr>
      <w:tr>
        <w:trPr>
          <w:cantSplit w:val="true"/>
        </w:trP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模型风险管理</w:t>
            </w:r>
          </w:p>
        </w:tc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ValidationDossier、challenger、RecertificationRecord、prohibited_use。</w:t>
            </w:r>
          </w:p>
        </w:tc>
        <w:tc>
          <w:tcPr>
            <w:tcW w:type="dxa" w:w="3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管理模型用途、材料性、监控和再认证触发器。</w:t>
            </w:r>
          </w:p>
        </w:tc>
      </w:tr>
      <w:tr>
        <w:trPr>
          <w:cantSplit w:val="true"/>
        </w:trPr>
        <w:tc>
          <w:tcPr>
            <w:tcW w:type="dxa" w:w="185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研究运营与知识管理</w:t>
            </w:r>
          </w:p>
        </w:tc>
        <w:tc>
          <w:tcPr>
            <w:tcW w:type="dxa" w:w="410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Research Graph、RAG、生命周期、RDP、checkpoint、replay。</w:t>
            </w:r>
          </w:p>
        </w:tc>
        <w:tc>
          <w:tcPr>
            <w:tcW w:type="dxa" w:w="341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保留历史、复用资产、复盘失败并交付可审计材料。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个人用户仍然保留的决定</w:t>
      </w:r>
    </w:p>
    <w:p>
      <w:pPr>
        <w:pStyle w:val="QuantBTBullet"/>
        <w:numPr>
          <w:ilvl w:val="0"/>
          <w:numId w:val="10"/>
        </w:numPr>
        <w:keepLines/>
      </w:pPr>
      <w:r>
        <w:t>选择研究问题、市场范围、资金目标和可接受风险。</w:t>
      </w:r>
    </w:p>
    <w:p>
      <w:pPr>
        <w:pStyle w:val="QuantBTBullet"/>
        <w:numPr>
          <w:ilvl w:val="0"/>
          <w:numId w:val="10"/>
        </w:numPr>
        <w:keepLines/>
      </w:pPr>
      <w:r>
        <w:t>决定使用 strict、standard、loose、exploratory 或自定义方法学。</w:t>
      </w:r>
    </w:p>
    <w:p>
      <w:pPr>
        <w:pStyle w:val="QuantBTBullet"/>
        <w:numPr>
          <w:ilvl w:val="0"/>
          <w:numId w:val="10"/>
        </w:numPr>
        <w:keepLines/>
      </w:pPr>
      <w:r>
        <w:t>在系统给出代价、证据缺口和责任边界后，决定是否继续、降级、暂停或退役。</w:t>
      </w:r>
    </w:p>
    <w:p>
      <w:pPr>
        <w:pStyle w:val="QuantBTBullet"/>
        <w:numPr>
          <w:ilvl w:val="0"/>
          <w:numId w:val="10"/>
        </w:numPr>
        <w:keepLines/>
      </w:pPr>
      <w:r>
        <w:t>对真钱、杠杆、保证金、借券、资金费率和交易权限作最终确认。</w:t>
      </w:r>
    </w:p>
    <w:p>
      <w:pPr>
        <w:spacing w:before="120" w:after="200" w:line="269" w:lineRule="auto"/>
        <w:ind w:left="144" w:right="144"/>
        <w:shd w:fill="FFF8E8"/>
        <w:pBdr>
          <w:left w:val="single" w:sz="18" w:space="8" w:color="7A5A00"/>
        </w:pBdr>
        <w:keepLines/>
      </w:pPr>
      <w:r>
        <w:rPr>
          <w:rFonts w:ascii="Arial Unicode MS" w:hAnsi="Arial Unicode MS" w:eastAsia="Arial Unicode MS"/>
          <w:b/>
          <w:color w:val="7A5A00"/>
          <w:sz w:val="21"/>
        </w:rPr>
        <w:t>边界：</w:t>
      </w:r>
      <w:r>
        <w:rPr>
          <w:rFonts w:ascii="Arial Unicode MS" w:hAnsi="Arial Unicode MS" w:eastAsia="Arial Unicode MS"/>
          <w:color w:val="222222"/>
          <w:sz w:val="21"/>
        </w:rPr>
        <w:t>单人模式可以做到功能上的独立验证，例如隔离上下文、不可变证据、二次确认和异模型挑战；没有真实组织流程时，系统不会声称已经具备组织独立性。</w:t>
      </w:r>
    </w:p>
    <w:p>
      <w:pPr>
        <w:pStyle w:val="QuantBTSource"/>
      </w:pPr>
      <w:r>
        <w:rPr>
          <w:rFonts w:ascii="Arial Unicode MS" w:hAnsi="Arial Unicode MS" w:eastAsia="Arial Unicode MS"/>
          <w:color w:val="5F6368"/>
          <w:sz w:val="17"/>
        </w:rPr>
        <w:t>终态依据：dev/GOAL.md §2、§7、§8、§13、§15。</w:t>
      </w:r>
    </w:p>
    <w:p>
      <w:pPr>
        <w:pStyle w:val="Heading1"/>
        <w:keepNext/>
        <w:keepLines/>
      </w:pPr>
      <w:bookmarkStart w:id="103" w:name="sec03"/>
      <w:r>
        <w:t>3. 统一研究链与九个工作台</w:t>
      </w:r>
      <w:bookmarkEnd w:id="103"/>
    </w:p>
    <w:p>
      <w:pPr>
        <w:spacing w:before="120" w:after="200" w:line="269" w:lineRule="auto"/>
        <w:ind w:left="144" w:right="144"/>
        <w:shd w:fill="EAF1F8"/>
        <w:pBdr>
          <w:left w:val="single" w:sz="18" w:space="8" w:color="1F4D78"/>
        </w:pBdr>
        <w:keepLines/>
      </w:pPr>
      <w:r>
        <w:rPr>
          <w:rFonts w:ascii="Arial Unicode MS" w:hAnsi="Arial Unicode MS" w:eastAsia="Arial Unicode MS"/>
          <w:b/>
          <w:color w:val="17365D"/>
          <w:sz w:val="21"/>
        </w:rPr>
        <w:t>统一链路：</w:t>
      </w:r>
      <w:r>
        <w:rPr>
          <w:rFonts w:ascii="Arial Unicode MS" w:hAnsi="Arial Unicode MS" w:eastAsia="Arial Unicode MS"/>
          <w:color w:val="222222"/>
          <w:sz w:val="21"/>
        </w:rPr>
        <w:t>Quant Intent → Typed Canvas / Command → QRO → Research Graph → Governed Compiler → Deterministic Run → Evidence Verdict → Promotion / Approval → Runtime → Monitor / Retire</w:t>
      </w:r>
    </w:p>
    <w:p>
      <w:pPr>
        <w:keepLines/>
      </w:pPr>
      <w:r>
        <w:t>Chat、Canvas、API、IDE、Scheduler 和 Agent Shell 都进入同一条链。用户手动操作和 Agent 操作使用同一套对象、版本、权限、审计与生命周期，不产生互相矛盾的第二套事实。</w:t>
      </w:r>
    </w:p>
    <w:p>
      <w:pPr>
        <w:pStyle w:val="Heading2"/>
        <w:keepNext/>
        <w:keepLines/>
      </w:pPr>
      <w:r>
        <w:t>九个工作台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  <w:tblInd w:type="dxa" w:w="120"/>
      </w:tblPr>
      <w:tblGrid>
        <w:gridCol w:w="1600"/>
        <w:gridCol w:w="7760"/>
      </w:tblGrid>
      <w:tr>
        <w:trPr>
          <w:tblHeader w:val="true"/>
          <w:cantSplit w:val="true"/>
        </w:trPr>
        <w:tc>
          <w:tcPr>
            <w:tcW w:type="dxa" w:w="160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工作台</w:t>
            </w:r>
          </w:p>
        </w:tc>
        <w:tc>
          <w:tcPr>
            <w:tcW w:type="dxa" w:w="77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终态职责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数据台</w:t>
            </w:r>
          </w:p>
        </w:tc>
        <w:tc>
          <w:tcPr>
            <w:tcW w:type="dxa" w:w="7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数据源注册、连接测试、字段映射、PIT/bitemporal、数据质量、版本、更新 Skill、freshness 与 schema drift。</w:t>
            </w:r>
          </w:p>
        </w:tc>
      </w:tr>
      <w:tr>
        <w:trPr>
          <w:cantSplit w:val="true"/>
        </w:trPr>
        <w:tc>
          <w:tcPr>
            <w:tcW w:type="dxa" w:w="160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因子台</w:t>
            </w:r>
          </w:p>
        </w:tc>
        <w:tc>
          <w:tcPr>
            <w:tcW w:type="dxa" w:w="776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因子创建、公式、方向、适用域、失效条件、分类、验证、相似性、复用与退役。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模型台</w:t>
            </w:r>
          </w:p>
        </w:tc>
        <w:tc>
          <w:tcPr>
            <w:tcW w:type="dxa" w:w="7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训练、验证、登记、模型卡、模型护照、晋级、监控和再认证。</w:t>
            </w:r>
          </w:p>
        </w:tc>
      </w:tr>
      <w:tr>
        <w:trPr>
          <w:cantSplit w:val="true"/>
        </w:trPr>
        <w:tc>
          <w:tcPr>
            <w:tcW w:type="dxa" w:w="160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信号台</w:t>
            </w:r>
          </w:p>
        </w:tc>
        <w:tc>
          <w:tcPr>
            <w:tcW w:type="dxa" w:w="776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Signal Contract、变换、阈值、方向、置信度、异常处理、过期、弃权和冲突解决。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策略台</w:t>
            </w:r>
          </w:p>
        </w:tc>
        <w:tc>
          <w:tcPr>
            <w:tcW w:type="dxa" w:w="7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StrategyBook、多腿 long/short、约束、成本、payoff、hedge ratio、资本账和回测计划。</w:t>
            </w:r>
          </w:p>
        </w:tc>
      </w:tr>
      <w:tr>
        <w:trPr>
          <w:cantSplit w:val="true"/>
        </w:trPr>
        <w:tc>
          <w:tcPr>
            <w:tcW w:type="dxa" w:w="160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回测/验证台</w:t>
            </w:r>
          </w:p>
        </w:tc>
        <w:tc>
          <w:tcPr>
            <w:tcW w:type="dxa" w:w="776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实验、估计量、抽样、置信区间、多重检验、PBO/DSR/CPCV/bootstrap、归因、反证和 verdict。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执行/风控台</w:t>
            </w:r>
          </w:p>
        </w:tc>
        <w:tc>
          <w:tcPr>
            <w:tcW w:type="dxa" w:w="7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paper/testnet/live 阶梯、risk gate、OrderGuard、kill switch、成本、保证金、监控、降级和退役。</w:t>
            </w:r>
          </w:p>
        </w:tc>
      </w:tr>
      <w:tr>
        <w:trPr>
          <w:cantSplit w:val="true"/>
        </w:trPr>
        <w:tc>
          <w:tcPr>
            <w:tcW w:type="dxa" w:w="160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研究台</w:t>
            </w:r>
          </w:p>
        </w:tc>
        <w:tc>
          <w:tcPr>
            <w:tcW w:type="dxa" w:w="776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论文、研报、网页、代码、数学定义、证据抽取、验证档案与 RDP。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设置台</w:t>
            </w:r>
          </w:p>
        </w:tc>
        <w:tc>
          <w:tcPr>
            <w:tcW w:type="dxa" w:w="7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数据源、LLM Provider、Secrets、OAuth、Credential Pool、Model Routing、连接测试、权限、撤销和轮换。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每个对象有五条相互独立的状态轴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  <w:tblInd w:type="dxa" w:w="120"/>
      </w:tblPr>
      <w:tblGrid>
        <w:gridCol w:w="1850"/>
        <w:gridCol w:w="7510"/>
      </w:tblGrid>
      <w:tr>
        <w:trPr>
          <w:tblHeader w:val="true"/>
          <w:cantSplit w:val="true"/>
        </w:trPr>
        <w:tc>
          <w:tcPr>
            <w:tcW w:type="dxa" w:w="185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状态轴</w:t>
            </w:r>
          </w:p>
        </w:tc>
        <w:tc>
          <w:tcPr>
            <w:tcW w:type="dxa" w:w="751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状态</w:t>
            </w:r>
          </w:p>
        </w:tc>
      </w:tr>
      <w:tr>
        <w:trPr>
          <w:cantSplit w:val="true"/>
        </w:trP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定义</w:t>
            </w:r>
          </w:p>
        </w:tc>
        <w:tc>
          <w:tcPr>
            <w:tcW w:type="dxa" w:w="7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draft / specified / implemented</w:t>
            </w:r>
          </w:p>
        </w:tc>
      </w:tr>
      <w:tr>
        <w:trPr>
          <w:cantSplit w:val="true"/>
        </w:trPr>
        <w:tc>
          <w:tcPr>
            <w:tcW w:type="dxa" w:w="185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理论</w:t>
            </w:r>
          </w:p>
        </w:tc>
        <w:tc>
          <w:tcPr>
            <w:tcW w:type="dxa" w:w="751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not_required / required / drafted / derived / challenged / accepted / user_waived</w:t>
            </w:r>
          </w:p>
        </w:tc>
      </w:tr>
      <w:tr>
        <w:trPr>
          <w:cantSplit w:val="true"/>
        </w:trP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一致性</w:t>
            </w:r>
          </w:p>
        </w:tc>
        <w:tc>
          <w:tcPr>
            <w:tcW w:type="dxa" w:w="7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not_applicable / unbound / checked / mismatch / accepted / waived_for_exploratory</w:t>
            </w:r>
          </w:p>
        </w:tc>
      </w:tr>
      <w:tr>
        <w:trPr>
          <w:cantSplit w:val="true"/>
        </w:trPr>
        <w:tc>
          <w:tcPr>
            <w:tcW w:type="dxa" w:w="185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证据</w:t>
            </w:r>
          </w:p>
        </w:tc>
        <w:tc>
          <w:tcPr>
            <w:tcW w:type="dxa" w:w="751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untested / exploratory / challenged / sufficient / insufficient / unverified_residual</w:t>
            </w:r>
          </w:p>
        </w:tc>
      </w:tr>
      <w:tr>
        <w:trPr>
          <w:cantSplit w:val="true"/>
        </w:trP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治理</w:t>
            </w:r>
          </w:p>
        </w:tc>
        <w:tc>
          <w:tcPr>
            <w:tcW w:type="dxa" w:w="7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unreviewed / approved / rejected / revoked</w:t>
            </w:r>
          </w:p>
        </w:tc>
      </w:tr>
      <w:tr>
        <w:trPr>
          <w:cantSplit w:val="true"/>
        </w:trPr>
        <w:tc>
          <w:tcPr>
            <w:tcW w:type="dxa" w:w="185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运行</w:t>
            </w:r>
          </w:p>
        </w:tc>
        <w:tc>
          <w:tcPr>
            <w:tcW w:type="dxa" w:w="751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offline / paper / testnet / live / suspended / retired</w:t>
            </w:r>
          </w:p>
        </w:tc>
      </w:tr>
    </w:tbl>
    <w:p>
      <w:pPr>
        <w:spacing w:after="40"/>
      </w:pPr>
    </w:p>
    <w:p>
      <w:pPr>
        <w:keepLines/>
      </w:pPr>
      <w:r>
        <w:t>这组状态避免把“代码写完”“证据充分”“审批通过”“已经实盘”压成一个绿色勾。一个模型可以 implemented，但仍然 untested；也可以证据 sufficient，却尚未 approved 或 live。</w:t>
      </w:r>
    </w:p>
    <w:p>
      <w:pPr>
        <w:pStyle w:val="QuantBTSource"/>
      </w:pPr>
      <w:r>
        <w:rPr>
          <w:rFonts w:ascii="Arial Unicode MS" w:hAnsi="Arial Unicode MS" w:eastAsia="Arial Unicode MS"/>
          <w:color w:val="5F6368"/>
          <w:sz w:val="17"/>
        </w:rPr>
        <w:t>终态依据：dev/GOAL.md §1、§2、§8。</w:t>
      </w:r>
    </w:p>
    <w:p>
      <w:pPr>
        <w:pStyle w:val="Heading1"/>
        <w:keepNext/>
        <w:keepLines/>
      </w:pPr>
      <w:bookmarkStart w:id="104" w:name="sec04"/>
      <w:r>
        <w:t>4. 市场、数据与接入</w:t>
      </w:r>
      <w:bookmarkEnd w:id="104"/>
    </w:p>
    <w:p>
      <w:pPr>
        <w:keepLines/>
      </w:pPr>
      <w:r>
        <w:t>终态研究范围覆盖股票、指数、ETF、基金、债券、利率、外汇、期货、商品、期权、加密现货、加密永续、加密期权、宏观、链上、另类数据和用户自定义数据。IPO、一级市场、私募和非公开交易不在主范围内；HFT、做市和延迟套利也被排除。</w:t>
      </w:r>
    </w:p>
    <w:p>
      <w:pPr>
        <w:pStyle w:val="Heading2"/>
        <w:keepNext/>
        <w:keepLines/>
      </w:pPr>
      <w:r>
        <w:t>跨市场研究语义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  <w:tblInd w:type="dxa" w:w="120"/>
      </w:tblPr>
      <w:tblGrid>
        <w:gridCol w:w="1900"/>
        <w:gridCol w:w="7460"/>
      </w:tblGrid>
      <w:tr>
        <w:trPr>
          <w:tblHeader w:val="true"/>
          <w:cantSplit w:val="true"/>
        </w:trPr>
        <w:tc>
          <w:tcPr>
            <w:tcW w:type="dxa" w:w="190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资产类别</w:t>
            </w:r>
          </w:p>
        </w:tc>
        <w:tc>
          <w:tcPr>
            <w:tcW w:type="dxa" w:w="74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平台必须理解的专用语义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股票与 ETF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交易日历、公司行动、复权、印花税、佣金、借券和可交易性。</w:t>
            </w:r>
          </w:p>
        </w:tc>
      </w:tr>
      <w:tr>
        <w:trPr>
          <w:cantSplit w:val="true"/>
        </w:trPr>
        <w:tc>
          <w:tcPr>
            <w:tcW w:type="dxa" w:w="190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期货</w:t>
            </w:r>
          </w:p>
        </w:tc>
        <w:tc>
          <w:tcPr>
            <w:tcW w:type="dxa" w:w="746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合约乘数、保证金、结算、交割、换月规则和连续合约构造。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期权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Greeks、隐含波动率曲面、期限结构、行权方式、到期日、执行价、乘数、结算、指派和保证金。</w:t>
            </w:r>
          </w:p>
        </w:tc>
      </w:tr>
      <w:tr>
        <w:trPr>
          <w:cantSplit w:val="true"/>
        </w:trPr>
        <w:tc>
          <w:tcPr>
            <w:tcW w:type="dxa" w:w="190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债券与利率</w:t>
            </w:r>
          </w:p>
        </w:tc>
        <w:tc>
          <w:tcPr>
            <w:tcW w:type="dxa" w:w="746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久期、凸性、收益率曲线、应计利息、票息、到期日和 day count。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外汇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base/quote、隔夜展期、融资、节假日日历和换算汇率。</w:t>
            </w:r>
          </w:p>
        </w:tc>
      </w:tr>
      <w:tr>
        <w:trPr>
          <w:cantSplit w:val="true"/>
        </w:trPr>
        <w:tc>
          <w:tcPr>
            <w:tcW w:type="dxa" w:w="190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商品</w:t>
            </w:r>
          </w:p>
        </w:tc>
        <w:tc>
          <w:tcPr>
            <w:tcW w:type="dxa" w:w="746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仓储、交割、合约规格、季节性和跨期价差。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加密资产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现货、永续、期权、资金费率、借贷、交易场所费用、滑点和清算风险。</w:t>
            </w:r>
          </w:p>
        </w:tc>
      </w:tr>
      <w:tr>
        <w:trPr>
          <w:cantSplit w:val="true"/>
        </w:trPr>
        <w:tc>
          <w:tcPr>
            <w:tcW w:type="dxa" w:w="190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跨市场组合</w:t>
            </w:r>
          </w:p>
        </w:tc>
        <w:tc>
          <w:tcPr>
            <w:tcW w:type="dxa" w:w="746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基础货币、汇率换算、抵押品、保证金、杠杆、净/总敞口、资本分配和融资成本。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个人数据也能进入同一治理链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  <w:tblInd w:type="dxa" w:w="120"/>
      </w:tblPr>
      <w:tblGrid>
        <w:gridCol w:w="2100"/>
        <w:gridCol w:w="7260"/>
      </w:tblGrid>
      <w:tr>
        <w:trPr>
          <w:tblHeader w:val="true"/>
          <w:cantSplit w:val="true"/>
        </w:trPr>
        <w:tc>
          <w:tcPr>
            <w:tcW w:type="dxa" w:w="210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接入方式</w:t>
            </w:r>
          </w:p>
        </w:tc>
        <w:tc>
          <w:tcPr>
            <w:tcW w:type="dxa" w:w="72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示例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官方与通用连接器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official connector、Generic REST、第三方 API key 数据源。</w:t>
            </w:r>
          </w:p>
        </w:tc>
      </w:tr>
      <w:tr>
        <w:trPr>
          <w:cantSplit w:val="true"/>
        </w:trPr>
        <w:tc>
          <w:tcPr>
            <w:tcW w:type="dxa" w:w="210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本地文件</w:t>
            </w:r>
          </w:p>
        </w:tc>
        <w:tc>
          <w:tcPr>
            <w:tcW w:type="dxa" w:w="726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CSV、Parquet、本地文件夹。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本地数据库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SQLite、DuckDB。</w:t>
            </w:r>
          </w:p>
        </w:tc>
      </w:tr>
      <w:tr>
        <w:trPr>
          <w:cantSplit w:val="true"/>
        </w:trPr>
        <w:tc>
          <w:tcPr>
            <w:tcW w:type="dxa" w:w="210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远程数据库</w:t>
            </w:r>
          </w:p>
        </w:tc>
        <w:tc>
          <w:tcPr>
            <w:tcW w:type="dxa" w:w="726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Postgres、MySQL、ClickHouse、Mongo 与其他 remote database。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宽表与抓取结果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crawler-produced wide table，仍需来源、许可、时间和质量记录。</w:t>
            </w:r>
          </w:p>
        </w:tc>
      </w:tr>
      <w:tr>
        <w:trPr>
          <w:cantSplit w:val="true"/>
        </w:trPr>
        <w:tc>
          <w:tcPr>
            <w:tcW w:type="dxa" w:w="210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定制接入</w:t>
            </w:r>
          </w:p>
        </w:tc>
        <w:tc>
          <w:tcPr>
            <w:tcW w:type="dxa" w:w="726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custom connector 与版本化 IngestionSkill。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数据进入研究前的最低记录</w:t>
      </w:r>
    </w:p>
    <w:p>
      <w:pPr>
        <w:pStyle w:val="QuantBTBullet"/>
        <w:numPr>
          <w:ilvl w:val="0"/>
          <w:numId w:val="10"/>
        </w:numPr>
        <w:keepLines/>
      </w:pPr>
      <w:r>
        <w:t>source、version、checksum、dataset_version 和 lineage。</w:t>
      </w:r>
    </w:p>
    <w:p>
      <w:pPr>
        <w:pStyle w:val="QuantBTBullet"/>
        <w:numPr>
          <w:ilvl w:val="0"/>
          <w:numId w:val="10"/>
        </w:numPr>
        <w:keepLines/>
      </w:pPr>
      <w:r>
        <w:t>event time、known_at、effective_at、PIT/bitemporal 与 as-of join 规则。</w:t>
      </w:r>
    </w:p>
    <w:p>
      <w:pPr>
        <w:pStyle w:val="QuantBTBullet"/>
        <w:numPr>
          <w:ilvl w:val="0"/>
          <w:numId w:val="10"/>
        </w:numPr>
        <w:keepLines/>
      </w:pPr>
      <w:r>
        <w:t>缺失值模型、存续偏差规则、公司行动变换、换月构造和币种换算公式。</w:t>
      </w:r>
    </w:p>
    <w:p>
      <w:pPr>
        <w:pStyle w:val="QuantBTBullet"/>
        <w:numPr>
          <w:ilvl w:val="0"/>
          <w:numId w:val="10"/>
        </w:numPr>
        <w:keepLines/>
      </w:pPr>
      <w:r>
        <w:t>质量测试、freshness、schema drift、更新失败与下游影响清单。</w:t>
      </w:r>
    </w:p>
    <w:p>
      <w:pPr>
        <w:pStyle w:val="QuantBTBullet"/>
        <w:numPr>
          <w:ilvl w:val="0"/>
          <w:numId w:val="10"/>
        </w:numPr>
        <w:keepLines/>
      </w:pPr>
      <w:r>
        <w:t>license、redistribution rights、rate limit、ToS、commercial use status 与 retention policy。</w:t>
      </w:r>
    </w:p>
    <w:p>
      <w:pPr>
        <w:pStyle w:val="Heading2"/>
        <w:keepNext/>
        <w:keepLines/>
      </w:pPr>
      <w:r>
        <w:t>Settings、Secrets 和 LLM 接入</w:t>
      </w:r>
    </w:p>
    <w:p>
      <w:pPr>
        <w:keepLines/>
      </w:pPr>
      <w:r>
        <w:t>API key、OAuth token、device code token、CLI credential 和交易密钥只存在 Settings / Secrets 安全后端。Agent 只使用 SecretRef 或 TokenRef。终态支持 OpenAI、Anthropic、OpenRouter、企业网关、OpenAI-compatible 自定义端点和本地模型端点，并通过 LLM Gateway 记录 provider、model、auth_ref、成本、延迟和 replay state。</w:t>
      </w:r>
    </w:p>
    <w:p>
      <w:pPr>
        <w:pStyle w:val="QuantBTSource"/>
      </w:pPr>
      <w:r>
        <w:rPr>
          <w:rFonts w:ascii="Arial Unicode MS" w:hAnsi="Arial Unicode MS" w:eastAsia="Arial Unicode MS"/>
          <w:color w:val="5F6368"/>
          <w:sz w:val="17"/>
        </w:rPr>
        <w:t>终态依据：dev/GOAL.md §0、§4、§11、§12。</w:t>
      </w:r>
    </w:p>
    <w:p>
      <w:pPr>
        <w:pStyle w:val="Heading1"/>
        <w:keepNext/>
        <w:keepLines/>
      </w:pPr>
      <w:bookmarkStart w:id="105" w:name="sec05"/>
      <w:r>
        <w:t>5. 文献、证据与数学研究</w:t>
      </w:r>
      <w:bookmarkEnd w:id="105"/>
    </w:p>
    <w:p>
      <w:pPr>
        <w:pStyle w:val="Heading2"/>
        <w:keepNext/>
        <w:keepLines/>
      </w:pPr>
      <w:r>
        <w:t>论文、研报、网页和代码如何变成研究资产</w:t>
      </w:r>
    </w:p>
    <w:p>
      <w:pPr>
        <w:spacing w:before="120" w:after="200" w:line="269" w:lineRule="auto"/>
        <w:ind w:left="144" w:right="144"/>
        <w:shd w:fill="EAF1F8"/>
        <w:pBdr>
          <w:left w:val="single" w:sz="18" w:space="8" w:color="1F4D78"/>
        </w:pBdr>
        <w:keepLines/>
      </w:pPr>
      <w:r>
        <w:rPr>
          <w:rFonts w:ascii="Arial Unicode MS" w:hAnsi="Arial Unicode MS" w:eastAsia="Arial Unicode MS"/>
          <w:b/>
          <w:color w:val="17365D"/>
          <w:sz w:val="21"/>
        </w:rPr>
        <w:t>文献链路：</w:t>
      </w:r>
      <w:r>
        <w:rPr>
          <w:rFonts w:ascii="Arial Unicode MS" w:hAnsi="Arial Unicode MS" w:eastAsia="Arial Unicode MS"/>
          <w:color w:val="222222"/>
          <w:sz w:val="21"/>
        </w:rPr>
        <w:t>SourceDocument → DocumentBlock / TableArtifact / FormulaArtifact / ReferenceArtifact → EvidenceSpan → ExtractedStrategySpec / ExtractedModelClaim → hypothesis / preregistration → experiment plan → data lock → implementation → validation dossier → promotion / rejection</w:t>
      </w:r>
    </w:p>
    <w:p>
      <w:pPr>
        <w:keepLines/>
      </w:pPr>
      <w:r>
        <w:t>文档先进入隔离区和 parser sandbox。系统检查文件类型、哈希、大小、页数、压缩限制、来源和许可。抽取结果带页码、区域、段落、字符位置、摘录哈希、解析置信度和支持性核验。文档内容被当作不可信数据，不能直接触发高权限工具。</w:t>
      </w:r>
    </w:p>
    <w:p>
      <w:pPr>
        <w:pStyle w:val="Heading2"/>
        <w:keepNext/>
        <w:keepLines/>
      </w:pPr>
      <w:r>
        <w:t>Mathematical Spine 把理论和实现绑在一起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  <w:tblInd w:type="dxa" w:w="120"/>
      </w:tblPr>
      <w:tblGrid>
        <w:gridCol w:w="2450"/>
        <w:gridCol w:w="6910"/>
      </w:tblGrid>
      <w:tr>
        <w:trPr>
          <w:tblHeader w:val="true"/>
          <w:cantSplit w:val="true"/>
        </w:trPr>
        <w:tc>
          <w:tcPr>
            <w:tcW w:type="dxa" w:w="245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数学对象</w:t>
            </w:r>
          </w:p>
        </w:tc>
        <w:tc>
          <w:tcPr>
            <w:tcW w:type="dxa" w:w="691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它解决的问题</w:t>
            </w:r>
          </w:p>
        </w:tc>
      </w:tr>
      <w:tr>
        <w:trPr>
          <w:cantSplit w:val="true"/>
        </w:trP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TheorySpec</w:t>
            </w:r>
          </w:p>
        </w:tc>
        <w:tc>
          <w:tcPr>
            <w:tcW w:type="dxa" w:w="6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写清定义、假设、适用域、推导、反例和失败条件。</w:t>
            </w:r>
          </w:p>
        </w:tc>
      </w:tr>
      <w:tr>
        <w:trPr>
          <w:cantSplit w:val="true"/>
        </w:trPr>
        <w:tc>
          <w:tcPr>
            <w:tcW w:type="dxa" w:w="245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MathematicalArtifact</w:t>
            </w:r>
          </w:p>
        </w:tc>
        <w:tc>
          <w:tcPr>
            <w:tcW w:type="dxa" w:w="691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保存目标函数、约束、估计量、损失函数、风险度量、payoff、证明草图等可复用对象。</w:t>
            </w:r>
          </w:p>
        </w:tc>
      </w:tr>
      <w:tr>
        <w:trPr>
          <w:cantSplit w:val="true"/>
        </w:trP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ImplementationSpec</w:t>
            </w:r>
          </w:p>
        </w:tc>
        <w:tc>
          <w:tcPr>
            <w:tcW w:type="dxa" w:w="6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规定公式如何落到代码、配置、数据合同、单位和符号映射。</w:t>
            </w:r>
          </w:p>
        </w:tc>
      </w:tr>
      <w:tr>
        <w:trPr>
          <w:cantSplit w:val="true"/>
        </w:trPr>
        <w:tc>
          <w:tcPr>
            <w:tcW w:type="dxa" w:w="245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TheoryImplementationBinding</w:t>
            </w:r>
          </w:p>
        </w:tc>
        <w:tc>
          <w:tcPr>
            <w:tcW w:type="dxa" w:w="691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把理论版本与代码、参数、数据、测试、仿真和运行配置绑定。</w:t>
            </w:r>
          </w:p>
        </w:tc>
      </w:tr>
      <w:tr>
        <w:trPr>
          <w:cantSplit w:val="true"/>
        </w:trP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ConsistencyCheck</w:t>
            </w:r>
          </w:p>
        </w:tc>
        <w:tc>
          <w:tcPr>
            <w:tcW w:type="dxa" w:w="6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执行符号、维度、性质、数值、仿真、replay 或人工复核，发现理论与实现不一致。</w:t>
            </w:r>
          </w:p>
        </w:tc>
      </w:tr>
      <w:tr>
        <w:trPr>
          <w:cantSplit w:val="true"/>
        </w:trPr>
        <w:tc>
          <w:tcPr>
            <w:tcW w:type="dxa" w:w="245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MethodologyChoiceRecord</w:t>
            </w:r>
          </w:p>
        </w:tc>
        <w:tc>
          <w:tcPr>
            <w:tcW w:type="dxa" w:w="691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记录用户选择的严格度、跳过步骤、已展示代价、推荐路径和允许环境。</w:t>
            </w:r>
          </w:p>
        </w:tc>
      </w:tr>
      <w:tr>
        <w:trPr>
          <w:cantSplit w:val="true"/>
        </w:trP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ResponsibilityDisclosureRecord</w:t>
            </w:r>
          </w:p>
        </w:tc>
        <w:tc>
          <w:tcPr>
            <w:tcW w:type="dxa" w:w="6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写清系统建议、用户决定和风险责任边界。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入门者能得到的具体帮助</w:t>
      </w:r>
    </w:p>
    <w:p>
      <w:pPr>
        <w:pStyle w:val="QuantBTBullet"/>
        <w:numPr>
          <w:ilvl w:val="0"/>
          <w:numId w:val="10"/>
        </w:numPr>
        <w:keepLines/>
      </w:pPr>
      <w:r>
        <w:t>公式里缺哪个变量、单位是否一致、采样时间是否会造成未来数据泄露。</w:t>
      </w:r>
    </w:p>
    <w:p>
      <w:pPr>
        <w:pStyle w:val="QuantBTBullet"/>
        <w:numPr>
          <w:ilvl w:val="0"/>
          <w:numId w:val="10"/>
        </w:numPr>
        <w:keepLines/>
      </w:pPr>
      <w:r>
        <w:t>一个因子为什么预期为正或为负，在哪些市场、周期和容量下可能失效。</w:t>
      </w:r>
    </w:p>
    <w:p>
      <w:pPr>
        <w:pStyle w:val="QuantBTBullet"/>
        <w:numPr>
          <w:ilvl w:val="0"/>
          <w:numId w:val="10"/>
        </w:numPr>
        <w:keepLines/>
      </w:pPr>
      <w:r>
        <w:t>模型的目标函数、损失函数、识别假设、正则化、校准和不确定性该怎么记录。</w:t>
      </w:r>
    </w:p>
    <w:p>
      <w:pPr>
        <w:pStyle w:val="QuantBTBullet"/>
        <w:numPr>
          <w:ilvl w:val="0"/>
          <w:numId w:val="10"/>
        </w:numPr>
        <w:keepLines/>
      </w:pPr>
      <w:r>
        <w:t>期权 payoff、Greeks、波动率曲面假设、对冲误差与执行成本如何进入验证。</w:t>
      </w:r>
    </w:p>
    <w:p>
      <w:pPr>
        <w:pStyle w:val="QuantBTBullet"/>
        <w:numPr>
          <w:ilvl w:val="0"/>
          <w:numId w:val="10"/>
        </w:numPr>
        <w:keepLines/>
      </w:pPr>
      <w:r>
        <w:t>代码改动后是否仍然符合原公式，哪些测试和仿真必须重跑。</w:t>
      </w:r>
    </w:p>
    <w:p>
      <w:pPr>
        <w:spacing w:before="120" w:after="200" w:line="269" w:lineRule="auto"/>
        <w:ind w:left="144" w:right="144"/>
        <w:shd w:fill="FFF8E8"/>
        <w:pBdr>
          <w:left w:val="single" w:sz="18" w:space="8" w:color="7A5A00"/>
        </w:pBdr>
        <w:keepLines/>
      </w:pPr>
      <w:r>
        <w:rPr>
          <w:rFonts w:ascii="Arial Unicode MS" w:hAnsi="Arial Unicode MS" w:eastAsia="Arial Unicode MS"/>
          <w:b/>
          <w:color w:val="7A5A00"/>
          <w:sz w:val="21"/>
        </w:rPr>
        <w:t>用户放权：</w:t>
      </w:r>
      <w:r>
        <w:rPr>
          <w:rFonts w:ascii="Arial Unicode MS" w:hAnsi="Arial Unicode MS" w:eastAsia="Arial Unicode MS"/>
          <w:color w:val="222222"/>
          <w:sz w:val="21"/>
        </w:rPr>
        <w:t>用户可以跳过严格理论或严格验证，但平台会保留 exploratory、user_waived_theory、user_waived_validation 或 custom_methodology 状态。这些产物可以继续研究、回测或在权限允许的环境运行，却不能被标成 proof-backed、evidence sufficient 或 production-ready。</w:t>
      </w:r>
    </w:p>
    <w:p>
      <w:pPr>
        <w:pStyle w:val="QuantBTSource"/>
      </w:pPr>
      <w:r>
        <w:rPr>
          <w:rFonts w:ascii="Arial Unicode MS" w:hAnsi="Arial Unicode MS" w:eastAsia="Arial Unicode MS"/>
          <w:color w:val="5F6368"/>
          <w:sz w:val="17"/>
        </w:rPr>
        <w:t>终态依据：dev/GOAL.md §5、§6、§8、§13。</w:t>
      </w:r>
    </w:p>
    <w:p>
      <w:pPr>
        <w:pStyle w:val="Heading1"/>
        <w:keepNext/>
        <w:keepLines/>
      </w:pPr>
      <w:bookmarkStart w:id="106" w:name="sec06"/>
      <w:r>
        <w:t>6. 因子、标签、模型、信号与策略</w:t>
      </w:r>
      <w:bookmarkEnd w:id="106"/>
    </w:p>
    <w:p>
      <w:pPr>
        <w:keepLines/>
      </w:pPr>
      <w:r>
        <w:t>平台把研究对象分开管理，避免把模型、信号和策略混成一个不可解释的脚本。每层有自己的输入输出、版本、验证、适用域和失败条件。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  <w:tblInd w:type="dxa" w:w="120"/>
      </w:tblPr>
      <w:tblGrid>
        <w:gridCol w:w="1450"/>
        <w:gridCol w:w="4740"/>
        <w:gridCol w:w="3170"/>
      </w:tblGrid>
      <w:tr>
        <w:trPr>
          <w:tblHeader w:val="true"/>
          <w:cantSplit w:val="true"/>
        </w:trPr>
        <w:tc>
          <w:tcPr>
            <w:tcW w:type="dxa" w:w="145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对象</w:t>
            </w:r>
          </w:p>
        </w:tc>
        <w:tc>
          <w:tcPr>
            <w:tcW w:type="dxa" w:w="474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终态边界</w:t>
            </w:r>
          </w:p>
        </w:tc>
        <w:tc>
          <w:tcPr>
            <w:tcW w:type="dxa" w:w="317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入门者常见误区</w:t>
            </w:r>
          </w:p>
        </w:tc>
      </w:tr>
      <w:tr>
        <w:trPr>
          <w:cantSplit w:val="true"/>
        </w:trP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因子</w:t>
            </w:r>
          </w:p>
        </w:tc>
        <w:tc>
          <w:tcPr>
            <w:tcW w:type="dxa" w:w="4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算术、expression 和 brute-force mining 纯库；保存公式、方向、衰减、拥挤、容量、因子族、相似性、冗余、复用和退役。</w:t>
            </w:r>
          </w:p>
        </w:tc>
        <w:tc>
          <w:tcPr>
            <w:tcW w:type="dxa" w:w="3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把回测收益直接当成因子定义，或让生成器同时使用守门指标。</w:t>
            </w:r>
          </w:p>
        </w:tc>
      </w:tr>
      <w:tr>
        <w:trPr>
          <w:cantSplit w:val="true"/>
        </w:trPr>
        <w:tc>
          <w:tcPr>
            <w:tcW w:type="dxa" w:w="145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标签</w:t>
            </w:r>
          </w:p>
        </w:tc>
        <w:tc>
          <w:tcPr>
            <w:tcW w:type="dxa" w:w="474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记录事件定义、预测期限、删失、条件集合、三重障碍和泄露边界。</w:t>
            </w:r>
          </w:p>
        </w:tc>
        <w:tc>
          <w:tcPr>
            <w:tcW w:type="dxa" w:w="317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标签使用了事后信息，训练分数很好但无法交易。</w:t>
            </w:r>
          </w:p>
        </w:tc>
      </w:tr>
      <w:tr>
        <w:trPr>
          <w:cantSplit w:val="true"/>
        </w:trP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模型</w:t>
            </w:r>
          </w:p>
        </w:tc>
        <w:tc>
          <w:tcPr>
            <w:tcW w:type="dxa" w:w="4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ML/DL 本体进入 Model Registry，绑定目标、损失、估计器、识别、正则化、校准和不确定性。</w:t>
            </w:r>
          </w:p>
        </w:tc>
        <w:tc>
          <w:tcPr>
            <w:tcW w:type="dxa" w:w="3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把训练好的模型文件塞进 Factor Library，失去模型治理。</w:t>
            </w:r>
          </w:p>
        </w:tc>
      </w:tr>
      <w:tr>
        <w:trPr>
          <w:cantSplit w:val="true"/>
        </w:trPr>
        <w:tc>
          <w:tcPr>
            <w:tcW w:type="dxa" w:w="145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信号</w:t>
            </w:r>
          </w:p>
        </w:tc>
        <w:tc>
          <w:tcPr>
            <w:tcW w:type="dxa" w:w="474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模型或因子输出经 Signal Contract 转成方向、阈值、置信度、弃权、过期和冲突规则。</w:t>
            </w:r>
          </w:p>
        </w:tc>
        <w:tc>
          <w:tcPr>
            <w:tcW w:type="dxa" w:w="317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模型分数未经时间、阈值和过期规则就直接下单。</w:t>
            </w:r>
          </w:p>
        </w:tc>
      </w:tr>
      <w:tr>
        <w:trPr>
          <w:cantSplit w:val="true"/>
        </w:trP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StrategyBook</w:t>
            </w:r>
          </w:p>
        </w:tc>
        <w:tc>
          <w:tcPr>
            <w:tcW w:type="dxa" w:w="4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表达 universe、多腿 long/short、约束、成本、payoff、hedge ratio、资本账、回测计划和执行意图。</w:t>
            </w:r>
          </w:p>
        </w:tc>
        <w:tc>
          <w:tcPr>
            <w:tcW w:type="dxa" w:w="3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把 short intent 当作一定能借到券或在该交易场所执行。</w:t>
            </w:r>
          </w:p>
        </w:tc>
      </w:tr>
      <w:tr>
        <w:trPr>
          <w:cantSplit w:val="true"/>
        </w:trPr>
        <w:tc>
          <w:tcPr>
            <w:tcW w:type="dxa" w:w="145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策略组合</w:t>
            </w:r>
          </w:p>
        </w:tc>
        <w:tc>
          <w:tcPr>
            <w:tcW w:type="dxa" w:w="474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portfolio-of-strategies、strategy-level allocation、meta-allocation、相关性、容量、回撤和资本预算。</w:t>
            </w:r>
          </w:p>
        </w:tc>
        <w:tc>
          <w:tcPr>
            <w:tcW w:type="dxa" w:w="317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只看单策略收益，忽略策略间相关和共同容量。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生成器和守门器分开</w:t>
      </w:r>
    </w:p>
    <w:p>
      <w:pPr>
        <w:keepLines/>
      </w:pPr>
      <w:r>
        <w:t>候选生成器负责提出因子或参数，gatekeeper 负责评估。守门指标不能回流为生成器的 fitness，否则会把验证集变成新的训练集。排列组合、集成和 stacking 位于信号或 StrategyBook 层，并记录 OOF、purge、embargo、train/test lock 和 honest-N。</w:t>
      </w:r>
    </w:p>
    <w:p>
      <w:pPr>
        <w:pStyle w:val="Heading2"/>
        <w:keepNext/>
        <w:keepLines/>
      </w:pPr>
      <w:r>
        <w:t>中低频信号范围</w:t>
      </w:r>
    </w:p>
    <w:p>
      <w:pPr>
        <w:keepLines/>
      </w:pPr>
      <w:r>
        <w:t>GOAL 列出的信号来源包括新闻、事件、链上、A 股基本面、宏观、期权隐含波动率、利率期限结构和资金费率。每类信号都要经过数据时点、交易成本、容量和执行可达性检查。</w:t>
      </w:r>
    </w:p>
    <w:p>
      <w:pPr>
        <w:pStyle w:val="QuantBTSource"/>
      </w:pPr>
      <w:r>
        <w:rPr>
          <w:rFonts w:ascii="Arial Unicode MS" w:hAnsi="Arial Unicode MS" w:eastAsia="Arial Unicode MS"/>
          <w:color w:val="5F6368"/>
          <w:sz w:val="17"/>
        </w:rPr>
        <w:t>终态依据：dev/GOAL.md §6、§9、§14。</w:t>
      </w:r>
    </w:p>
    <w:p>
      <w:pPr>
        <w:pStyle w:val="Heading1"/>
        <w:keepNext/>
        <w:keepLines/>
      </w:pPr>
      <w:bookmarkStart w:id="107" w:name="sec07"/>
      <w:r>
        <w:t>7. 研究方法全景</w:t>
      </w:r>
      <w:bookmarkEnd w:id="107"/>
    </w:p>
    <w:p>
      <w:pPr>
        <w:spacing w:before="120" w:after="200" w:line="269" w:lineRule="auto"/>
        <w:ind w:left="144" w:right="144"/>
        <w:shd w:fill="FFF8E8"/>
        <w:pBdr>
          <w:left w:val="single" w:sz="18" w:space="8" w:color="7A5A00"/>
        </w:pBdr>
        <w:keepLines/>
      </w:pPr>
      <w:r>
        <w:rPr>
          <w:rFonts w:ascii="Arial Unicode MS" w:hAnsi="Arial Unicode MS" w:eastAsia="Arial Unicode MS"/>
          <w:b/>
          <w:color w:val="7A5A00"/>
          <w:sz w:val="21"/>
        </w:rPr>
        <w:t>全量口径：</w:t>
      </w:r>
      <w:r>
        <w:rPr>
          <w:rFonts w:ascii="Arial Unicode MS" w:hAnsi="Arial Unicode MS" w:eastAsia="Arial Unicode MS"/>
          <w:color w:val="222222"/>
          <w:sz w:val="21"/>
        </w:rPr>
        <w:t>本报告所称“方法全景”指 dev/GOAL.md 明确列入终态的方法能力，不代表金融学、统计学和机器学习领域的每一种方法都已被纳入。附录 A 按研究问题列出 GOAL 方法目录。</w:t>
      </w:r>
    </w:p>
    <w:p>
      <w:pPr>
        <w:pStyle w:val="Heading2"/>
        <w:keepNext/>
        <w:keepLines/>
      </w:pPr>
      <w:r>
        <w:t>一项研究的完整路径</w:t>
      </w:r>
    </w:p>
    <w:p>
      <w:pPr>
        <w:keepLines/>
      </w:pPr>
      <w:r>
        <w:t>研究问题 → 来源摄入 → 证据抽取 → 假设与反假设 → 数学定义 → 实验计划 → 数据锁定 → 实现 → 运行 → 验证与挑战 → claim / no-claim → Research Delivery Package → 晋级或拒绝 → 后续复核、矛盾处理和退役。</w:t>
      </w:r>
    </w:p>
    <w:p>
      <w:pPr>
        <w:pStyle w:val="Heading2"/>
        <w:keepNext/>
        <w:keepLines/>
      </w:pPr>
      <w:r>
        <w:t>按研究阶段组织的方法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  <w:tblInd w:type="dxa" w:w="120"/>
      </w:tblPr>
      <w:tblGrid>
        <w:gridCol w:w="1350"/>
        <w:gridCol w:w="4800"/>
        <w:gridCol w:w="3210"/>
      </w:tblGrid>
      <w:tr>
        <w:trPr>
          <w:tblHeader w:val="true"/>
          <w:cantSplit w:val="true"/>
        </w:trPr>
        <w:tc>
          <w:tcPr>
            <w:tcW w:type="dxa" w:w="135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阶段</w:t>
            </w:r>
          </w:p>
        </w:tc>
        <w:tc>
          <w:tcPr>
            <w:tcW w:type="dxa" w:w="480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可用方法</w:t>
            </w:r>
          </w:p>
        </w:tc>
        <w:tc>
          <w:tcPr>
            <w:tcW w:type="dxa" w:w="321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初学者先回答的问题</w:t>
            </w:r>
          </w:p>
        </w:tc>
      </w:tr>
      <w:tr>
        <w:trPr>
          <w:cantSplit w:val="true"/>
        </w:trP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问题与证据</w:t>
            </w:r>
          </w:p>
        </w:tc>
        <w:tc>
          <w:tcPr>
            <w:tcW w:type="dxa" w:w="4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研究问题、EvidenceSpan、假设、反假设、preregistration、confirmatory freeze。</w:t>
            </w:r>
          </w:p>
        </w:tc>
        <w:tc>
          <w:tcPr>
            <w:tcW w:type="dxa" w:w="3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想证明什么，什么结果会推翻它，哪些选择必须先锁定。</w:t>
            </w:r>
          </w:p>
        </w:tc>
      </w:tr>
      <w:tr>
        <w:trPr>
          <w:cantSplit w:val="true"/>
        </w:trPr>
        <w:tc>
          <w:tcPr>
            <w:tcW w:type="dxa" w:w="135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数据设计</w:t>
            </w:r>
          </w:p>
        </w:tc>
        <w:tc>
          <w:tcPr>
            <w:tcW w:type="dxa" w:w="480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PIT、bitemporal、known_at/effective_at、as-of join、缺失模型、存续偏差、公司行动、换月和币种换算。</w:t>
            </w:r>
          </w:p>
        </w:tc>
        <w:tc>
          <w:tcPr>
            <w:tcW w:type="dxa" w:w="321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在当时是否真的知道这条数据，处理后还能否复现。</w:t>
            </w:r>
          </w:p>
        </w:tc>
      </w:tr>
      <w:tr>
        <w:trPr>
          <w:cantSplit w:val="true"/>
        </w:trP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因子与标签</w:t>
            </w:r>
          </w:p>
        </w:tc>
        <w:tc>
          <w:tcPr>
            <w:tcW w:type="dxa" w:w="4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公式、预期方向、单调性、衰减、拥挤、容量、失败条件、事件、期限、删失、条件集合和泄露边界。</w:t>
            </w:r>
          </w:p>
        </w:tc>
        <w:tc>
          <w:tcPr>
            <w:tcW w:type="dxa" w:w="3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信号来自什么机制，标签是否偷看未来。</w:t>
            </w:r>
          </w:p>
        </w:tc>
      </w:tr>
      <w:tr>
        <w:trPr>
          <w:cantSplit w:val="true"/>
        </w:trPr>
        <w:tc>
          <w:tcPr>
            <w:tcW w:type="dxa" w:w="135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模型</w:t>
            </w:r>
          </w:p>
        </w:tc>
        <w:tc>
          <w:tcPr>
            <w:tcW w:type="dxa" w:w="480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目标、损失、估计器、识别、正则化、校准、不确定性、训练/测试锁和 OOF。</w:t>
            </w:r>
          </w:p>
        </w:tc>
        <w:tc>
          <w:tcPr>
            <w:tcW w:type="dxa" w:w="321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模型优化的东西是否与投资目标一致，输出是否可信。</w:t>
            </w:r>
          </w:p>
        </w:tc>
      </w:tr>
      <w:tr>
        <w:trPr>
          <w:cantSplit w:val="true"/>
        </w:trP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组合与执行</w:t>
            </w:r>
          </w:p>
        </w:tc>
        <w:tc>
          <w:tcPr>
            <w:tcW w:type="dxa" w:w="4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目标函数、约束、风险度量、hedge ratio、敞口、资本账、成本、滑点、冲击、保证金和结算。</w:t>
            </w:r>
          </w:p>
        </w:tc>
        <w:tc>
          <w:tcPr>
            <w:tcW w:type="dxa" w:w="3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纸面收益经过容量和交易规则后还剩多少。</w:t>
            </w:r>
          </w:p>
        </w:tc>
      </w:tr>
      <w:tr>
        <w:trPr>
          <w:cantSplit w:val="true"/>
        </w:trPr>
        <w:tc>
          <w:tcPr>
            <w:tcW w:type="dxa" w:w="135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验证</w:t>
            </w:r>
          </w:p>
        </w:tc>
        <w:tc>
          <w:tcPr>
            <w:tcW w:type="dxa" w:w="480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purge、embargo、CPCV、walk-forward、bootstrap、PBO、CSCV、DSR-FST、PSR、MinTRL、honest-N、多重检验。</w:t>
            </w:r>
          </w:p>
        </w:tc>
        <w:tc>
          <w:tcPr>
            <w:tcW w:type="dxa" w:w="321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结果是不是数据挖掘和重复试验造成的。</w:t>
            </w:r>
          </w:p>
        </w:tc>
      </w:tr>
      <w:tr>
        <w:trPr>
          <w:cantSplit w:val="true"/>
        </w:trP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不确定性</w:t>
            </w:r>
          </w:p>
        </w:tc>
        <w:tc>
          <w:tcPr>
            <w:tcW w:type="dxa" w:w="4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conformal、CQR、ACI、abstain、置信区间和通缩区间。</w:t>
            </w:r>
          </w:p>
        </w:tc>
        <w:tc>
          <w:tcPr>
            <w:tcW w:type="dxa" w:w="3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什么时候应该给区间，什么时候应该不出手。</w:t>
            </w:r>
          </w:p>
        </w:tc>
      </w:tr>
      <w:tr>
        <w:trPr>
          <w:cantSplit w:val="true"/>
        </w:trPr>
        <w:tc>
          <w:tcPr>
            <w:tcW w:type="dxa" w:w="135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归因与监控</w:t>
            </w:r>
          </w:p>
        </w:tc>
        <w:tc>
          <w:tcPr>
            <w:tcW w:type="dxa" w:w="480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收益分解、因子暴露、Brinson、TCA、残差、benchmark、rolling-PSR、CUSUM、Page-Hinkley、PSI。</w:t>
            </w:r>
          </w:p>
        </w:tc>
        <w:tc>
          <w:tcPr>
            <w:tcW w:type="dxa" w:w="321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收益从哪里来，失效先表现在哪个指标。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方法选择不是单向强制</w:t>
      </w:r>
    </w:p>
    <w:p>
      <w:pPr>
        <w:keepLines/>
      </w:pPr>
      <w:r>
        <w:t>机构级方法是默认推荐路径。个人用户可以放宽流程，系统继续交付当前可达产物，同时记录 tradeoffs、recommendation、risks、skipped_steps、responsibility_boundary 和 allowed_environment。放宽后，展示状态和可晋级环境随之降低。</w:t>
      </w:r>
    </w:p>
    <w:p>
      <w:pPr>
        <w:pStyle w:val="QuantBTSource"/>
      </w:pPr>
      <w:r>
        <w:rPr>
          <w:rFonts w:ascii="Arial Unicode MS" w:hAnsi="Arial Unicode MS" w:eastAsia="Arial Unicode MS"/>
          <w:color w:val="5F6368"/>
          <w:sz w:val="17"/>
        </w:rPr>
        <w:t>终态依据：dev/GOAL.md §3、§6、§10、§13。</w:t>
      </w:r>
    </w:p>
    <w:p>
      <w:pPr>
        <w:pStyle w:val="Heading1"/>
        <w:keepNext/>
        <w:keepLines/>
      </w:pPr>
      <w:bookmarkStart w:id="108" w:name="sec08"/>
      <w:r>
        <w:t>8. 回测验证与过拟合防线</w:t>
      </w:r>
      <w:bookmarkEnd w:id="108"/>
    </w:p>
    <w:p>
      <w:pPr>
        <w:keepLines/>
      </w:pPr>
      <w:r>
        <w:t>回测台的任务不是把曲线调漂亮，而是说明这条曲线在什么数据、选择次数、成本和假设下成立。QuantBT 把估计量、抽样、置信区间、多重检验和选择过程写进验证档案。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  <w:tblInd w:type="dxa" w:w="120"/>
      </w:tblPr>
      <w:tblGrid>
        <w:gridCol w:w="1800"/>
        <w:gridCol w:w="4240"/>
        <w:gridCol w:w="3320"/>
      </w:tblGrid>
      <w:tr>
        <w:trPr>
          <w:tblHeader w:val="true"/>
          <w:cantSplit w:val="true"/>
        </w:trPr>
        <w:tc>
          <w:tcPr>
            <w:tcW w:type="dxa" w:w="180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方法</w:t>
            </w:r>
          </w:p>
        </w:tc>
        <w:tc>
          <w:tcPr>
            <w:tcW w:type="dxa" w:w="424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它检查什么</w:t>
            </w:r>
          </w:p>
        </w:tc>
        <w:tc>
          <w:tcPr>
            <w:tcW w:type="dxa" w:w="332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入门理解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Purge / Embargo</w:t>
            </w:r>
          </w:p>
        </w:tc>
        <w:tc>
          <w:tcPr>
            <w:tcW w:type="dxa" w:w="4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训练和验证样本之间的时间重叠与信息污染。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把靠得太近、会互相泄露的样本隔开。</w:t>
            </w:r>
          </w:p>
        </w:tc>
      </w:tr>
      <w:tr>
        <w:trPr>
          <w:cantSplit w:val="true"/>
        </w:trPr>
        <w:tc>
          <w:tcPr>
            <w:tcW w:type="dxa" w:w="180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CPCV</w:t>
            </w:r>
          </w:p>
        </w:tc>
        <w:tc>
          <w:tcPr>
            <w:tcW w:type="dxa" w:w="424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多条不重叠路径上的组合式时间序列验证。</w:t>
            </w:r>
          </w:p>
        </w:tc>
        <w:tc>
          <w:tcPr>
            <w:tcW w:type="dxa" w:w="332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不只看一次切分，观察策略在多条历史路径上的稳定性。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Walk-forward</w:t>
            </w:r>
          </w:p>
        </w:tc>
        <w:tc>
          <w:tcPr>
            <w:tcW w:type="dxa" w:w="4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按时间滚动训练、验证和前推。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模拟研究在当时只能看到过去数据的过程。</w:t>
            </w:r>
          </w:p>
        </w:tc>
      </w:tr>
      <w:tr>
        <w:trPr>
          <w:cantSplit w:val="true"/>
        </w:trPr>
        <w:tc>
          <w:tcPr>
            <w:tcW w:type="dxa" w:w="180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Bootstrap CI</w:t>
            </w:r>
          </w:p>
        </w:tc>
        <w:tc>
          <w:tcPr>
            <w:tcW w:type="dxa" w:w="424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统计量的抽样不确定性和置信区间。</w:t>
            </w:r>
          </w:p>
        </w:tc>
        <w:tc>
          <w:tcPr>
            <w:tcW w:type="dxa" w:w="332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同一表现经过重抽样后，区间有多宽。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PBO / CSCV</w:t>
            </w:r>
          </w:p>
        </w:tc>
        <w:tc>
          <w:tcPr>
            <w:tcW w:type="dxa" w:w="4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策略选择过程产生的回测过拟合概率。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试了很多候选后，冠军掉到样本外的概率有多大。</w:t>
            </w:r>
          </w:p>
        </w:tc>
      </w:tr>
      <w:tr>
        <w:trPr>
          <w:cantSplit w:val="true"/>
        </w:trPr>
        <w:tc>
          <w:tcPr>
            <w:tcW w:type="dxa" w:w="180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DSR-FST</w:t>
            </w:r>
          </w:p>
        </w:tc>
        <w:tc>
          <w:tcPr>
            <w:tcW w:type="dxa" w:w="424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多重试验和非正态条件下对 Sharpe 证据做通缩。</w:t>
            </w:r>
          </w:p>
        </w:tc>
        <w:tc>
          <w:tcPr>
            <w:tcW w:type="dxa" w:w="332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把“试得多”和收益分布不理想带来的虚高扣掉。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PSR</w:t>
            </w:r>
          </w:p>
        </w:tc>
        <w:tc>
          <w:tcPr>
            <w:tcW w:type="dxa" w:w="4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真实 Sharpe 超过目标值的概率。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不是只报一个 Sharpe 点估计，而是报告超过门槛的概率。</w:t>
            </w:r>
          </w:p>
        </w:tc>
      </w:tr>
      <w:tr>
        <w:trPr>
          <w:cantSplit w:val="true"/>
        </w:trPr>
        <w:tc>
          <w:tcPr>
            <w:tcW w:type="dxa" w:w="180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MinTRL</w:t>
            </w:r>
          </w:p>
        </w:tc>
        <w:tc>
          <w:tcPr>
            <w:tcW w:type="dxa" w:w="424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达到给定证据水平所需的最低样本长度。</w:t>
            </w:r>
          </w:p>
        </w:tc>
        <w:tc>
          <w:tcPr>
            <w:tcW w:type="dxa" w:w="332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样本太短时，先问还需要多少数据。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honest-N</w:t>
            </w:r>
          </w:p>
        </w:tc>
        <w:tc>
          <w:tcPr>
            <w:tcW w:type="dxa" w:w="4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真实尝试次数、筛选次数和搜索过程。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所有失败候选也要入账，不能只留下赢家。</w:t>
            </w:r>
          </w:p>
        </w:tc>
      </w:tr>
      <w:tr>
        <w:trPr>
          <w:cantSplit w:val="true"/>
        </w:trPr>
        <w:tc>
          <w:tcPr>
            <w:tcW w:type="dxa" w:w="180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Multiple testing</w:t>
            </w:r>
          </w:p>
        </w:tc>
        <w:tc>
          <w:tcPr>
            <w:tcW w:type="dxa" w:w="424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同时检验很多假设造成的假阳性。</w:t>
            </w:r>
          </w:p>
        </w:tc>
        <w:tc>
          <w:tcPr>
            <w:tcW w:type="dxa" w:w="332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候选越多，偶然好看的结果越常见。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t&gt;3 视角</w:t>
            </w:r>
          </w:p>
        </w:tc>
        <w:tc>
          <w:tcPr>
            <w:tcW w:type="dxa" w:w="4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把更高 t 阈值作为可配置审查视角。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它是审查门槛，不是万能定律。</w:t>
            </w:r>
          </w:p>
        </w:tc>
      </w:tr>
      <w:tr>
        <w:trPr>
          <w:cantSplit w:val="true"/>
        </w:trPr>
        <w:tc>
          <w:tcPr>
            <w:tcW w:type="dxa" w:w="180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Chen 弱识别提示</w:t>
            </w:r>
          </w:p>
        </w:tc>
        <w:tc>
          <w:tcPr>
            <w:tcW w:type="dxa" w:w="424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识别假设薄弱、参数难以可靠估计的情形。</w:t>
            </w:r>
          </w:p>
        </w:tc>
        <w:tc>
          <w:tcPr>
            <w:tcW w:type="dxa" w:w="332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模型能拟合，不代表经济量已经被识别。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Conformal / CQR / ACI</w:t>
            </w:r>
          </w:p>
        </w:tc>
        <w:tc>
          <w:tcPr>
            <w:tcW w:type="dxa" w:w="4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预测区间及其随时间的覆盖率适应。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输出区间，并在分布变化时调整置信范围。</w:t>
            </w:r>
          </w:p>
        </w:tc>
      </w:tr>
      <w:tr>
        <w:trPr>
          <w:cantSplit w:val="true"/>
        </w:trPr>
        <w:tc>
          <w:tcPr>
            <w:tcW w:type="dxa" w:w="180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Abstain</w:t>
            </w:r>
          </w:p>
        </w:tc>
        <w:tc>
          <w:tcPr>
            <w:tcW w:type="dxa" w:w="424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证据、置信度或适用域不足时不发信号。</w:t>
            </w:r>
          </w:p>
        </w:tc>
        <w:tc>
          <w:tcPr>
            <w:tcW w:type="dxa" w:w="332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不交易也是一个正式输出。</w:t>
            </w:r>
          </w:p>
        </w:tc>
      </w:tr>
    </w:tbl>
    <w:p>
      <w:pPr>
        <w:spacing w:after="40"/>
      </w:pPr>
    </w:p>
    <w:p>
      <w:pPr>
        <w:spacing w:before="120" w:after="200" w:line="269" w:lineRule="auto"/>
        <w:ind w:left="144" w:right="144"/>
        <w:shd w:fill="FFF8E8"/>
        <w:pBdr>
          <w:left w:val="single" w:sz="18" w:space="8" w:color="7A5A00"/>
        </w:pBdr>
        <w:keepLines/>
      </w:pPr>
      <w:r>
        <w:rPr>
          <w:rFonts w:ascii="Arial Unicode MS" w:hAnsi="Arial Unicode MS" w:eastAsia="Arial Unicode MS"/>
          <w:b/>
          <w:color w:val="7A5A00"/>
          <w:sz w:val="21"/>
        </w:rPr>
        <w:t>拒绝条件：</w:t>
      </w:r>
      <w:r>
        <w:rPr>
          <w:rFonts w:ascii="Arial Unicode MS" w:hAnsi="Arial Unicode MS" w:eastAsia="Arial Unicode MS"/>
          <w:color w:val="222222"/>
          <w:sz w:val="21"/>
        </w:rPr>
        <w:t>噪声策略通过强证据门、短样本输出强结论、成本缺失却进入 production evidence sufficient、单策略 live 监控把 DSR 当主告警，均属于 GOAL 明确拒绝的情形。</w:t>
      </w:r>
    </w:p>
    <w:p>
      <w:pPr>
        <w:pStyle w:val="QuantBTSource"/>
      </w:pPr>
      <w:r>
        <w:rPr>
          <w:rFonts w:ascii="Arial Unicode MS" w:hAnsi="Arial Unicode MS" w:eastAsia="Arial Unicode MS"/>
          <w:color w:val="5F6368"/>
          <w:sz w:val="17"/>
        </w:rPr>
        <w:t>终态依据：dev/GOAL.md §10。</w:t>
      </w:r>
    </w:p>
    <w:p>
      <w:pPr>
        <w:pStyle w:val="Heading1"/>
        <w:keepNext/>
        <w:keepLines/>
      </w:pPr>
      <w:bookmarkStart w:id="109" w:name="sec09"/>
      <w:r>
        <w:t>9. 组合、成本、归因与监控</w:t>
      </w:r>
      <w:bookmarkEnd w:id="109"/>
    </w:p>
    <w:p>
      <w:pPr>
        <w:pStyle w:val="Heading2"/>
        <w:keepNext/>
        <w:keepLines/>
      </w:pPr>
      <w:r>
        <w:t>成本模型按资产分开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  <w:tblInd w:type="dxa" w:w="120"/>
      </w:tblPr>
      <w:tblGrid>
        <w:gridCol w:w="1900"/>
        <w:gridCol w:w="7460"/>
      </w:tblGrid>
      <w:tr>
        <w:trPr>
          <w:tblHeader w:val="true"/>
          <w:cantSplit w:val="true"/>
        </w:trPr>
        <w:tc>
          <w:tcPr>
            <w:tcW w:type="dxa" w:w="190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资产</w:t>
            </w:r>
          </w:p>
        </w:tc>
        <w:tc>
          <w:tcPr>
            <w:tcW w:type="dxa" w:w="74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终态成本与交易语义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股票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commission、tax、borrow。</w:t>
            </w:r>
          </w:p>
        </w:tc>
      </w:tr>
      <w:tr>
        <w:trPr>
          <w:cantSplit w:val="true"/>
        </w:trPr>
        <w:tc>
          <w:tcPr>
            <w:tcW w:type="dxa" w:w="190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期货</w:t>
            </w:r>
          </w:p>
        </w:tc>
        <w:tc>
          <w:tcPr>
            <w:tcW w:type="dxa" w:w="746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margin、multiplier、roll、settlement。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期权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premium、spread、Greeks、assignment、exercise、margin。</w:t>
            </w:r>
          </w:p>
        </w:tc>
      </w:tr>
      <w:tr>
        <w:trPr>
          <w:cantSplit w:val="true"/>
        </w:trPr>
        <w:tc>
          <w:tcPr>
            <w:tcW w:type="dxa" w:w="190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加密</w:t>
            </w:r>
          </w:p>
        </w:tc>
        <w:tc>
          <w:tcPr>
            <w:tcW w:type="dxa" w:w="746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funding、borrow、venue fee、slippage。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外汇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rollover、funding、holiday calendar。</w:t>
            </w:r>
          </w:p>
        </w:tc>
      </w:tr>
      <w:tr>
        <w:trPr>
          <w:cantSplit w:val="true"/>
        </w:trPr>
        <w:tc>
          <w:tcPr>
            <w:tcW w:type="dxa" w:w="190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债券</w:t>
            </w:r>
          </w:p>
        </w:tc>
        <w:tc>
          <w:tcPr>
            <w:tcW w:type="dxa" w:w="746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accrued interest、duration、convexity、curve move。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商品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storage、delivery、contract spec。</w:t>
            </w:r>
          </w:p>
        </w:tc>
      </w:tr>
    </w:tbl>
    <w:p>
      <w:pPr>
        <w:spacing w:after="40"/>
      </w:pPr>
    </w:p>
    <w:p>
      <w:pPr>
        <w:keepLines/>
      </w:pPr>
      <w:r>
        <w:t>成本、滑点、市场冲击、容量、借券、资金费率、印花税和期权成本进入 RDP。平方根冲击模型的 δ=0.5 窄带可作为默认保守基线，但它是可配置假设，必须与数据和适用市场一起记录。</w:t>
      </w:r>
    </w:p>
    <w:p>
      <w:pPr>
        <w:pStyle w:val="Heading2"/>
        <w:keepNext/>
        <w:keepLines/>
      </w:pPr>
      <w:r>
        <w:t>组合与策略组合</w:t>
      </w:r>
    </w:p>
    <w:p>
      <w:pPr>
        <w:pStyle w:val="QuantBTBullet"/>
        <w:numPr>
          <w:ilvl w:val="0"/>
          <w:numId w:val="10"/>
        </w:numPr>
        <w:keepLines/>
      </w:pPr>
      <w:r>
        <w:t>组合目标、约束、风险度量、hedge ratio、净敞口、总敞口、资本账和融资成本。</w:t>
      </w:r>
    </w:p>
    <w:p>
      <w:pPr>
        <w:pStyle w:val="QuantBTBullet"/>
        <w:numPr>
          <w:ilvl w:val="0"/>
          <w:numId w:val="10"/>
        </w:numPr>
        <w:keepLines/>
      </w:pPr>
      <w:r>
        <w:t>多 StrategyBook 的 strategy-level allocation、meta-allocation、相关性预算、容量预算、回撤预算和资本分配。</w:t>
      </w:r>
    </w:p>
    <w:p>
      <w:pPr>
        <w:pStyle w:val="QuantBTBullet"/>
        <w:numPr>
          <w:ilvl w:val="0"/>
          <w:numId w:val="10"/>
        </w:numPr>
        <w:keepLines/>
      </w:pPr>
      <w:r>
        <w:t>regime 作为风险情景，不作为回看后随意解释收益的标签。</w:t>
      </w:r>
    </w:p>
    <w:p>
      <w:pPr>
        <w:pStyle w:val="Heading2"/>
        <w:keepNext/>
        <w:keepLines/>
      </w:pPr>
      <w:r>
        <w:t>归因与运行监控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  <w:tblInd w:type="dxa" w:w="120"/>
      </w:tblPr>
      <w:tblGrid>
        <w:gridCol w:w="1950"/>
        <w:gridCol w:w="7410"/>
      </w:tblGrid>
      <w:tr>
        <w:trPr>
          <w:tblHeader w:val="true"/>
          <w:cantSplit w:val="true"/>
        </w:trPr>
        <w:tc>
          <w:tcPr>
            <w:tcW w:type="dxa" w:w="195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层次</w:t>
            </w:r>
          </w:p>
        </w:tc>
        <w:tc>
          <w:tcPr>
            <w:tcW w:type="dxa" w:w="741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方法</w:t>
            </w:r>
          </w:p>
        </w:tc>
      </w:tr>
      <w:tr>
        <w:trPr>
          <w:cantSplit w:val="true"/>
        </w:trPr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收益归因</w:t>
            </w:r>
          </w:p>
        </w:tc>
        <w:tc>
          <w:tcPr>
            <w:tcW w:type="dxa" w:w="7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return decomposition、factor exposure、Brinson、benchmark、residual。</w:t>
            </w:r>
          </w:p>
        </w:tc>
      </w:tr>
      <w:tr>
        <w:trPr>
          <w:cantSplit w:val="true"/>
        </w:trPr>
        <w:tc>
          <w:tcPr>
            <w:tcW w:type="dxa" w:w="195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交易归因</w:t>
            </w:r>
          </w:p>
        </w:tc>
        <w:tc>
          <w:tcPr>
            <w:tcW w:type="dxa" w:w="741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TCA、slippage、impact、cost drift、borrow、funding 与 venue fee。</w:t>
            </w:r>
          </w:p>
        </w:tc>
      </w:tr>
      <w:tr>
        <w:trPr>
          <w:cantSplit w:val="true"/>
        </w:trPr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统计监控</w:t>
            </w:r>
          </w:p>
        </w:tc>
        <w:tc>
          <w:tcPr>
            <w:tcW w:type="dxa" w:w="7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rolling-PSR、CUSUM、Page-Hinkley、PSI。</w:t>
            </w:r>
          </w:p>
        </w:tc>
      </w:tr>
      <w:tr>
        <w:trPr>
          <w:cantSplit w:val="true"/>
        </w:trPr>
        <w:tc>
          <w:tcPr>
            <w:tcW w:type="dxa" w:w="195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告警分工</w:t>
            </w:r>
          </w:p>
        </w:tc>
        <w:tc>
          <w:tcPr>
            <w:tcW w:type="dxa" w:w="741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performance 是主告警，feature drift 用于根因定位，不能单独触发交易动作。</w:t>
            </w:r>
          </w:p>
        </w:tc>
      </w:tr>
      <w:tr>
        <w:trPr>
          <w:cantSplit w:val="true"/>
        </w:trPr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处置</w:t>
            </w:r>
          </w:p>
        </w:tc>
        <w:tc>
          <w:tcPr>
            <w:tcW w:type="dxa" w:w="7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graded kill switch、capital scale/downscale、demote、suspend、retire。</w:t>
            </w:r>
          </w:p>
        </w:tc>
      </w:tr>
      <w:tr>
        <w:trPr>
          <w:cantSplit w:val="true"/>
        </w:trPr>
        <w:tc>
          <w:tcPr>
            <w:tcW w:type="dxa" w:w="195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触发器一致性</w:t>
            </w:r>
          </w:p>
        </w:tc>
        <w:tc>
          <w:tcPr>
            <w:tcW w:type="dxa" w:w="741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drift statistic、阈值、hysteresis、kill rule、demotion rule 和 retirement rule 均绑定数学定义与 ConsistencyCheck。</w:t>
            </w:r>
          </w:p>
        </w:tc>
      </w:tr>
    </w:tbl>
    <w:p>
      <w:pPr>
        <w:spacing w:after="40"/>
      </w:pPr>
    </w:p>
    <w:p>
      <w:pPr>
        <w:pStyle w:val="QuantBTSource"/>
      </w:pPr>
      <w:r>
        <w:rPr>
          <w:rFonts w:ascii="Arial Unicode MS" w:hAnsi="Arial Unicode MS" w:eastAsia="Arial Unicode MS"/>
          <w:color w:val="5F6368"/>
          <w:sz w:val="17"/>
        </w:rPr>
        <w:t>终态依据：dev/GOAL.md §6、§9、§10、§11、§12、§14。</w:t>
      </w:r>
    </w:p>
    <w:p>
      <w:pPr>
        <w:pStyle w:val="Heading1"/>
        <w:keepNext/>
        <w:keepLines/>
      </w:pPr>
      <w:bookmarkStart w:id="110" w:name="sec10"/>
      <w:r>
        <w:t>10. Agent Shell 与多智能体研究 OS</w:t>
      </w:r>
      <w:bookmarkEnd w:id="110"/>
    </w:p>
    <w:p>
      <w:pPr>
        <w:keepLines/>
      </w:pPr>
      <w:r>
        <w:t>用户始终面对一个连续入口：对话、todo、plan、工具调用、diff、测试、验证和报告都在 Agent Shell 中呈现。后台按工作台、任务、权限、资产依赖和验证要求调度角色 Agent。</w:t>
      </w:r>
    </w:p>
    <w:p>
      <w:pPr>
        <w:pStyle w:val="Heading2"/>
        <w:keepNext/>
        <w:keepLines/>
      </w:pPr>
      <w:r>
        <w:t>角色分工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  <w:tblInd w:type="dxa" w:w="120"/>
      </w:tblPr>
      <w:tblGrid>
        <w:gridCol w:w="2350"/>
        <w:gridCol w:w="7010"/>
      </w:tblGrid>
      <w:tr>
        <w:trPr>
          <w:tblHeader w:val="true"/>
          <w:cantSplit w:val="true"/>
        </w:trPr>
        <w:tc>
          <w:tcPr>
            <w:tcW w:type="dxa" w:w="235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角色</w:t>
            </w:r>
          </w:p>
        </w:tc>
        <w:tc>
          <w:tcPr>
            <w:tcW w:type="dxa" w:w="701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主要产出</w:t>
            </w:r>
          </w:p>
        </w:tc>
      </w:tr>
      <w:tr>
        <w:trPr>
          <w:cantSplit w:val="true"/>
        </w:trPr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Coordinator / Planner</w:t>
            </w:r>
          </w:p>
        </w:tc>
        <w:tc>
          <w:tcPr>
            <w:tcW w:type="dxa" w:w="7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todo、依赖、风险、验收门、跨台 handoff 和回滚点。</w:t>
            </w:r>
          </w:p>
        </w:tc>
      </w:tr>
      <w:tr>
        <w:trPr>
          <w:cantSplit w:val="true"/>
        </w:trPr>
        <w:tc>
          <w:tcPr>
            <w:tcW w:type="dxa" w:w="235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Literature Researcher</w:t>
            </w:r>
          </w:p>
        </w:tc>
        <w:tc>
          <w:tcPr>
            <w:tcW w:type="dxa" w:w="701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文献检索、证据定位、来源版本和 EvidenceSpan。</w:t>
            </w:r>
          </w:p>
        </w:tc>
      </w:tr>
      <w:tr>
        <w:trPr>
          <w:cantSplit w:val="true"/>
        </w:trPr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Mathematical Researcher</w:t>
            </w:r>
          </w:p>
        </w:tc>
        <w:tc>
          <w:tcPr>
            <w:tcW w:type="dxa" w:w="7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符号、定义、假设、推导、反例、维度检查和实现绑定。</w:t>
            </w:r>
          </w:p>
        </w:tc>
      </w:tr>
      <w:tr>
        <w:trPr>
          <w:cantSplit w:val="true"/>
        </w:trPr>
        <w:tc>
          <w:tcPr>
            <w:tcW w:type="dxa" w:w="235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Data Engineer</w:t>
            </w:r>
          </w:p>
        </w:tc>
        <w:tc>
          <w:tcPr>
            <w:tcW w:type="dxa" w:w="701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接入方案、字段映射、PIT、IngestionSkill、质量检查和更新修复。</w:t>
            </w:r>
          </w:p>
        </w:tc>
      </w:tr>
      <w:tr>
        <w:trPr>
          <w:cantSplit w:val="true"/>
        </w:trPr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Factor Engineer</w:t>
            </w:r>
          </w:p>
        </w:tc>
        <w:tc>
          <w:tcPr>
            <w:tcW w:type="dxa" w:w="7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因子公式、机制、IC 计划、相似性、失效与容量检查。</w:t>
            </w:r>
          </w:p>
        </w:tc>
      </w:tr>
      <w:tr>
        <w:trPr>
          <w:cantSplit w:val="true"/>
        </w:trPr>
        <w:tc>
          <w:tcPr>
            <w:tcW w:type="dxa" w:w="235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Model Engineer</w:t>
            </w:r>
          </w:p>
        </w:tc>
        <w:tc>
          <w:tcPr>
            <w:tcW w:type="dxa" w:w="701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训练计划、模型代码、模型卡、验证、登记和监控。</w:t>
            </w:r>
          </w:p>
        </w:tc>
      </w:tr>
      <w:tr>
        <w:trPr>
          <w:cantSplit w:val="true"/>
        </w:trPr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Signal Engineer</w:t>
            </w:r>
          </w:p>
        </w:tc>
        <w:tc>
          <w:tcPr>
            <w:tcW w:type="dxa" w:w="7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Signal Contract、阈值、置信度、过期、弃权和冲突规则。</w:t>
            </w:r>
          </w:p>
        </w:tc>
      </w:tr>
      <w:tr>
        <w:trPr>
          <w:cantSplit w:val="true"/>
        </w:trPr>
        <w:tc>
          <w:tcPr>
            <w:tcW w:type="dxa" w:w="235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StrategyBook Engineer</w:t>
            </w:r>
          </w:p>
        </w:tc>
        <w:tc>
          <w:tcPr>
            <w:tcW w:type="dxa" w:w="701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多腿 book、约束、成本、payoff、资本账和策略组合。</w:t>
            </w:r>
          </w:p>
        </w:tc>
      </w:tr>
      <w:tr>
        <w:trPr>
          <w:cantSplit w:val="true"/>
        </w:trPr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Backtest Engineer</w:t>
            </w:r>
          </w:p>
        </w:tc>
        <w:tc>
          <w:tcPr>
            <w:tcW w:type="dxa" w:w="7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回测配置、估计量、CPCV、PBO/DSR、成本和归因。</w:t>
            </w:r>
          </w:p>
        </w:tc>
      </w:tr>
      <w:tr>
        <w:trPr>
          <w:cantSplit w:val="true"/>
        </w:trPr>
        <w:tc>
          <w:tcPr>
            <w:tcW w:type="dxa" w:w="235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Risk Analyst</w:t>
            </w:r>
          </w:p>
        </w:tc>
        <w:tc>
          <w:tcPr>
            <w:tcW w:type="dxa" w:w="701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风险政策、杠杆、保证金、执行约束、监控和降级规则。</w:t>
            </w:r>
          </w:p>
        </w:tc>
      </w:tr>
      <w:tr>
        <w:trPr>
          <w:cantSplit w:val="true"/>
        </w:trPr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Verifier / Critic</w:t>
            </w:r>
          </w:p>
        </w:tc>
        <w:tc>
          <w:tcPr>
            <w:tcW w:type="dxa" w:w="7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独立挑战假设、证据、数学、代码、运行配置和过度声明。</w:t>
            </w:r>
          </w:p>
        </w:tc>
      </w:tr>
      <w:tr>
        <w:trPr>
          <w:cantSplit w:val="true"/>
        </w:trPr>
        <w:tc>
          <w:tcPr>
            <w:tcW w:type="dxa" w:w="235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Reporter</w:t>
            </w:r>
          </w:p>
        </w:tc>
        <w:tc>
          <w:tcPr>
            <w:tcW w:type="dxa" w:w="701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研究报告、ValidationDossier、RDP 和面向用户的裁决语言。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用户可以看到什么</w:t>
      </w:r>
    </w:p>
    <w:p>
      <w:pPr>
        <w:keepLines/>
      </w:pPr>
      <w:r>
        <w:t>Plan、角色派发、LLM 路由、工具调用、RAG 引用、资产读取、diff、命令应用、验证、Verifier 挑战、审批请求、失败、修复、产物和运行裁决均形成可见工作事件。系统展示输入输出和证据来源，同时保留 provider 隐藏推理、secret 明文和权限边界。</w:t>
      </w:r>
    </w:p>
    <w:p>
      <w:pPr>
        <w:pStyle w:val="Heading2"/>
        <w:keepNext/>
        <w:keepLines/>
      </w:pPr>
      <w:r>
        <w:t>模型供应商和凭据不会交给角色 Agent</w:t>
      </w:r>
    </w:p>
    <w:p>
      <w:pPr>
        <w:keepLines/>
      </w:pPr>
      <w:r>
        <w:t>Role agent 提交能力、上下文、权限和 replay 要求，LLM Gateway 根据 ModelRoutingPolicy 选择 provider、model 和 credential pool。Verifier 可以要求不同 provider、不同模型或隔离上下文，独立性边界进入 LLMCallRecord。角色 Agent 不读取 API key、OAuth token、device code token 或 CLI credential。</w:t>
      </w:r>
    </w:p>
    <w:p>
      <w:pPr>
        <w:pStyle w:val="Heading2"/>
        <w:keepNext/>
        <w:keepLines/>
      </w:pPr>
      <w:r>
        <w:t>五种工作形态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  <w:tblInd w:type="dxa" w:w="120"/>
      </w:tblPr>
      <w:tblGrid>
        <w:gridCol w:w="1700"/>
        <w:gridCol w:w="7660"/>
      </w:tblGrid>
      <w:tr>
        <w:trPr>
          <w:tblHeader w:val="true"/>
          <w:cantSplit w:val="true"/>
        </w:trPr>
        <w:tc>
          <w:tcPr>
            <w:tcW w:type="dxa" w:w="170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形态</w:t>
            </w:r>
          </w:p>
        </w:tc>
        <w:tc>
          <w:tcPr>
            <w:tcW w:type="dxa" w:w="76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Plan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拆解任务、依赖、风险、验收门、跨台 handoff 和回滚点。</w:t>
            </w:r>
          </w:p>
        </w:tc>
      </w:tr>
      <w:tr>
        <w:trPr>
          <w:cantSplit w:val="true"/>
        </w:trPr>
        <w:tc>
          <w:tcPr>
            <w:tcW w:type="dxa" w:w="170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ReAct</w:t>
            </w:r>
          </w:p>
        </w:tc>
        <w:tc>
          <w:tcPr>
            <w:tcW w:type="dxa" w:w="766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在受控权限内读状态、用工具、改资产并运行验证。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Review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审查数据、因子、数学、模型、策略、代码、回测和 RDP。</w:t>
            </w:r>
          </w:p>
        </w:tc>
      </w:tr>
      <w:tr>
        <w:trPr>
          <w:cantSplit w:val="true"/>
        </w:trPr>
        <w:tc>
          <w:tcPr>
            <w:tcW w:type="dxa" w:w="170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Replay</w:t>
            </w:r>
          </w:p>
        </w:tc>
        <w:tc>
          <w:tcPr>
            <w:tcW w:type="dxa" w:w="766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读取已落账 run、artifact、RAG、ledger 与 fixture。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Repair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定位数据更新、Skill、回测、训练、测试或一致性失败并提交修复 diff。</w:t>
            </w:r>
          </w:p>
        </w:tc>
      </w:tr>
    </w:tbl>
    <w:p>
      <w:pPr>
        <w:spacing w:after="40"/>
      </w:pPr>
    </w:p>
    <w:p>
      <w:pPr>
        <w:pStyle w:val="QuantBTSource"/>
      </w:pPr>
      <w:r>
        <w:rPr>
          <w:rFonts w:ascii="Arial Unicode MS" w:hAnsi="Arial Unicode MS" w:eastAsia="Arial Unicode MS"/>
          <w:color w:val="5F6368"/>
          <w:sz w:val="17"/>
        </w:rPr>
        <w:t>终态依据：dev/GOAL.md §4、§5、§7、§8。</w:t>
      </w:r>
    </w:p>
    <w:p>
      <w:pPr>
        <w:pStyle w:val="Heading1"/>
        <w:keepNext/>
        <w:keepLines/>
      </w:pPr>
      <w:bookmarkStart w:id="111" w:name="sec11"/>
      <w:r>
        <w:t>11. 治理、模型风险与安全</w:t>
      </w:r>
      <w:bookmarkEnd w:id="111"/>
    </w:p>
    <w:p>
      <w:pPr>
        <w:pStyle w:val="Heading2"/>
        <w:keepNext/>
        <w:keepLines/>
      </w:pPr>
      <w:r>
        <w:t>治理脊柱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  <w:tblInd w:type="dxa" w:w="120"/>
      </w:tblPr>
      <w:tblGrid>
        <w:gridCol w:w="2100"/>
        <w:gridCol w:w="7260"/>
      </w:tblGrid>
      <w:tr>
        <w:trPr>
          <w:tblHeader w:val="true"/>
          <w:cantSplit w:val="true"/>
        </w:trPr>
        <w:tc>
          <w:tcPr>
            <w:tcW w:type="dxa" w:w="210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治理能力</w:t>
            </w:r>
          </w:p>
        </w:tc>
        <w:tc>
          <w:tcPr>
            <w:tcW w:type="dxa" w:w="72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终态要求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预注册与冻结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hypothesis preregistration、confirmatory freeze 和 honest-N ledger。</w:t>
            </w:r>
          </w:p>
        </w:tc>
      </w:tr>
      <w:tr>
        <w:trPr>
          <w:cantSplit w:val="true"/>
        </w:trPr>
        <w:tc>
          <w:tcPr>
            <w:tcW w:type="dxa" w:w="210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职责分离</w:t>
            </w:r>
          </w:p>
        </w:tc>
        <w:tc>
          <w:tcPr>
            <w:tcW w:type="dxa" w:w="726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approver ≠ creator；独立 verifier / challenger 的 provider、model 和 context 边界落账。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权限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deny-by-default、工作台工具权限、SecretRef 隔离、真钱审批和 allowed_environment。</w:t>
            </w:r>
          </w:p>
        </w:tc>
      </w:tr>
      <w:tr>
        <w:trPr>
          <w:cantSplit w:val="true"/>
        </w:trPr>
        <w:tc>
          <w:tcPr>
            <w:tcW w:type="dxa" w:w="210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可恢复性</w:t>
            </w:r>
          </w:p>
        </w:tc>
        <w:tc>
          <w:tcPr>
            <w:tcW w:type="dxa" w:w="726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durable checkpoint、replay、fork、rollback 与 append-only audit。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证据语言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证据充分、证据不足、适用域、未验证残余、失败原因和下一步缺口。</w:t>
            </w:r>
          </w:p>
        </w:tc>
      </w:tr>
      <w:tr>
        <w:trPr>
          <w:cantSplit w:val="true"/>
        </w:trPr>
        <w:tc>
          <w:tcPr>
            <w:tcW w:type="dxa" w:w="210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用户选择</w:t>
            </w:r>
          </w:p>
        </w:tc>
        <w:tc>
          <w:tcPr>
            <w:tcW w:type="dxa" w:w="726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系统给建议和代价，用户决定；waiver 可见，不能升级成系统背书。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生产诚实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no silent mock fallback、模板不能生成 production success、fallback 必须显示原因。</w:t>
            </w:r>
          </w:p>
        </w:tc>
      </w:tr>
      <w:tr>
        <w:trPr>
          <w:cantSplit w:val="true"/>
        </w:trPr>
        <w:tc>
          <w:tcPr>
            <w:tcW w:type="dxa" w:w="210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理论一致性</w:t>
            </w:r>
          </w:p>
        </w:tc>
        <w:tc>
          <w:tcPr>
            <w:tcW w:type="dxa" w:w="726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TheorySpec、ImplementationSpec、TheoryImplementationBinding 和 ConsistencyCheck 是理论背书的前提。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模型风险管理</w:t>
      </w:r>
    </w:p>
    <w:p>
      <w:pPr>
        <w:keepLines/>
      </w:pPr>
      <w:r>
        <w:t>Model Registry 管理 ModelTypeCard、TrainingPlan、TrainingRun、ModelVersion、TrainedModelPassport、ValidationDossier、PromotionRecord、MonitoringProfile 和 RecertificationRecord。记录 risk tier、materiality、intended_use、prohibited_use、数据与特征引用、训练代码哈希、依赖、challenger 结果和监控要求。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  <w:tblInd w:type="dxa" w:w="120"/>
      </w:tblPr>
      <w:tblGrid>
        <w:gridCol w:w="2450"/>
        <w:gridCol w:w="6910"/>
      </w:tblGrid>
      <w:tr>
        <w:trPr>
          <w:tblHeader w:val="true"/>
          <w:cantSplit w:val="true"/>
        </w:trPr>
        <w:tc>
          <w:tcPr>
            <w:tcW w:type="dxa" w:w="245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再认证触发器</w:t>
            </w:r>
          </w:p>
        </w:tc>
        <w:tc>
          <w:tcPr>
            <w:tcW w:type="dxa" w:w="691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需要重新审查的原因</w:t>
            </w:r>
          </w:p>
        </w:tc>
      </w:tr>
      <w:tr>
        <w:trPr>
          <w:cantSplit w:val="true"/>
        </w:trP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数据 schema 变化</w:t>
            </w:r>
          </w:p>
        </w:tc>
        <w:tc>
          <w:tcPr>
            <w:tcW w:type="dxa" w:w="6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输入定义、单位或时间语义可能改变。</w:t>
            </w:r>
          </w:p>
        </w:tc>
      </w:tr>
      <w:tr>
        <w:trPr>
          <w:cantSplit w:val="true"/>
        </w:trPr>
        <w:tc>
          <w:tcPr>
            <w:tcW w:type="dxa" w:w="245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特征分布漂移</w:t>
            </w:r>
          </w:p>
        </w:tc>
        <w:tc>
          <w:tcPr>
            <w:tcW w:type="dxa" w:w="691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训练分布与运行分布偏离。</w:t>
            </w:r>
          </w:p>
        </w:tc>
      </w:tr>
      <w:tr>
        <w:trPr>
          <w:cantSplit w:val="true"/>
        </w:trP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性能下降</w:t>
            </w:r>
          </w:p>
        </w:tc>
        <w:tc>
          <w:tcPr>
            <w:tcW w:type="dxa" w:w="6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模型或策略的证据基础发生变化。</w:t>
            </w:r>
          </w:p>
        </w:tc>
      </w:tr>
      <w:tr>
        <w:trPr>
          <w:cantSplit w:val="true"/>
        </w:trPr>
        <w:tc>
          <w:tcPr>
            <w:tcW w:type="dxa" w:w="245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重大模型变更</w:t>
            </w:r>
          </w:p>
        </w:tc>
        <w:tc>
          <w:tcPr>
            <w:tcW w:type="dxa" w:w="691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目标、结构、特征、标签、损失或参数更新具有材料性。</w:t>
            </w:r>
          </w:p>
        </w:tc>
      </w:tr>
      <w:tr>
        <w:trPr>
          <w:cantSplit w:val="true"/>
        </w:trP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新增资产类别</w:t>
            </w:r>
          </w:p>
        </w:tc>
        <w:tc>
          <w:tcPr>
            <w:tcW w:type="dxa" w:w="6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市场语义、成本和执行规则不同。</w:t>
            </w:r>
          </w:p>
        </w:tc>
      </w:tr>
      <w:tr>
        <w:trPr>
          <w:cantSplit w:val="true"/>
        </w:trPr>
        <w:tc>
          <w:tcPr>
            <w:tcW w:type="dxa" w:w="245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新增执行环境</w:t>
            </w:r>
          </w:p>
        </w:tc>
        <w:tc>
          <w:tcPr>
            <w:tcW w:type="dxa" w:w="691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从 offline 到 paper、testnet 或 live 时风险边界改变。</w:t>
            </w:r>
          </w:p>
        </w:tc>
      </w:tr>
      <w:tr>
        <w:trPr>
          <w:cantSplit w:val="true"/>
        </w:trP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依赖更新</w:t>
            </w:r>
          </w:p>
        </w:tc>
        <w:tc>
          <w:tcPr>
            <w:tcW w:type="dxa" w:w="6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运行库、模型供应商或外部组件变化。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产物与密钥安全</w:t>
      </w:r>
    </w:p>
    <w:p>
      <w:pPr>
        <w:pStyle w:val="QuantBTBullet"/>
        <w:numPr>
          <w:ilvl w:val="0"/>
          <w:numId w:val="10"/>
        </w:numPr>
        <w:keepLines/>
      </w:pPr>
      <w:r>
        <w:t>safe tensors 优先；外来 pickle 默认阻断；PyTorch 使用 weights_only 策略。</w:t>
      </w:r>
    </w:p>
    <w:p>
      <w:pPr>
        <w:pStyle w:val="QuantBTBullet"/>
        <w:numPr>
          <w:ilvl w:val="0"/>
          <w:numId w:val="10"/>
        </w:numPr>
        <w:keepLines/>
      </w:pPr>
      <w:r>
        <w:t>模型产物绑定 producer run 和 hash，加载或检查在 sandbox 中进行。</w:t>
      </w:r>
    </w:p>
    <w:p>
      <w:pPr>
        <w:pStyle w:val="QuantBTBullet"/>
        <w:numPr>
          <w:ilvl w:val="0"/>
          <w:numId w:val="10"/>
        </w:numPr>
        <w:keepLines/>
      </w:pPr>
      <w:r>
        <w:t>Secret 明文不得进入 Agent、RAG、日志、LLM prompt 或导出包。</w:t>
      </w:r>
    </w:p>
    <w:p>
      <w:pPr>
        <w:pStyle w:val="QuantBTBullet"/>
        <w:numPr>
          <w:ilvl w:val="0"/>
          <w:numId w:val="10"/>
        </w:numPr>
        <w:keepLines/>
      </w:pPr>
      <w:r>
        <w:t>交易必须经过 OrderGuard、幂等键、审计记录和 kill switch。</w:t>
      </w:r>
    </w:p>
    <w:p>
      <w:pPr>
        <w:pStyle w:val="QuantBTBullet"/>
        <w:numPr>
          <w:ilvl w:val="0"/>
          <w:numId w:val="10"/>
        </w:numPr>
        <w:keepLines/>
      </w:pPr>
      <w:r>
        <w:t>production 路径不能借 mock、template 或静默 fallback 伪造成功。</w:t>
      </w:r>
    </w:p>
    <w:p>
      <w:pPr>
        <w:pStyle w:val="QuantBTSource"/>
      </w:pPr>
      <w:r>
        <w:rPr>
          <w:rFonts w:ascii="Arial Unicode MS" w:hAnsi="Arial Unicode MS" w:eastAsia="Arial Unicode MS"/>
          <w:color w:val="5F6368"/>
          <w:sz w:val="17"/>
        </w:rPr>
        <w:t>终态依据：dev/GOAL.md §8、§13、§15、§16。</w:t>
      </w:r>
    </w:p>
    <w:p>
      <w:pPr>
        <w:pStyle w:val="Heading1"/>
        <w:keepNext/>
        <w:keepLines/>
      </w:pPr>
      <w:bookmarkStart w:id="112" w:name="sec12"/>
      <w:r>
        <w:t>12. 研究到实盘的执行边界</w:t>
      </w:r>
      <w:bookmarkEnd w:id="112"/>
    </w:p>
    <w:p>
      <w:pPr>
        <w:spacing w:before="120" w:after="200" w:line="269" w:lineRule="auto"/>
        <w:ind w:left="144" w:right="144"/>
        <w:shd w:fill="EAF1F8"/>
        <w:pBdr>
          <w:left w:val="single" w:sz="18" w:space="8" w:color="1F4D78"/>
        </w:pBdr>
        <w:keepLines/>
      </w:pPr>
      <w:r>
        <w:rPr>
          <w:rFonts w:ascii="Arial Unicode MS" w:hAnsi="Arial Unicode MS" w:eastAsia="Arial Unicode MS"/>
          <w:b/>
          <w:color w:val="17365D"/>
          <w:sz w:val="21"/>
        </w:rPr>
        <w:t>Live ladder：</w:t>
      </w:r>
      <w:r>
        <w:rPr>
          <w:rFonts w:ascii="Arial Unicode MS" w:hAnsi="Arial Unicode MS" w:eastAsia="Arial Unicode MS"/>
          <w:color w:val="222222"/>
          <w:sz w:val="21"/>
        </w:rPr>
        <w:t>backtest → paper / testnet → small live → scale → monitor → demote / retire</w:t>
      </w:r>
    </w:p>
    <w:p>
      <w:pPr>
        <w:keepLines/>
      </w:pPr>
      <w:r>
        <w:t>所有公开二级市场可以进入研究、回测、验证和资产库。是否能进入 paper、testnet 或 live，取决于 connector、账户权限、交易规则、监管限制、成本模型和安全门。研究支持不等于实盘可达。</w:t>
      </w:r>
    </w:p>
    <w:p>
      <w:pPr>
        <w:pStyle w:val="Heading2"/>
        <w:keepNext/>
        <w:keepLines/>
      </w:pPr>
      <w:r>
        <w:t>真钱前必须回答的事项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  <w:tblInd w:type="dxa" w:w="120"/>
      </w:tblPr>
      <w:tblGrid>
        <w:gridCol w:w="2150"/>
        <w:gridCol w:w="7210"/>
      </w:tblGrid>
      <w:tr>
        <w:trPr>
          <w:tblHeader w:val="true"/>
          <w:cantSplit w:val="true"/>
        </w:trPr>
        <w:tc>
          <w:tcPr>
            <w:tcW w:type="dxa" w:w="215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检查项</w:t>
            </w:r>
          </w:p>
        </w:tc>
        <w:tc>
          <w:tcPr>
            <w:tcW w:type="dxa" w:w="721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终态要求</w:t>
            </w:r>
          </w:p>
        </w:tc>
      </w:tr>
      <w:tr>
        <w:trPr>
          <w:cantSplit w:val="true"/>
        </w:trPr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市场与账户</w:t>
            </w:r>
          </w:p>
        </w:tc>
        <w:tc>
          <w:tcPr>
            <w:tcW w:type="dxa" w:w="7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MarketCapabilityMatrix 明确 live、short、leverage、options、margin、borrow 和 permission requirement。</w:t>
            </w:r>
          </w:p>
        </w:tc>
      </w:tr>
      <w:tr>
        <w:trPr>
          <w:cantSplit w:val="true"/>
        </w:trPr>
        <w:tc>
          <w:tcPr>
            <w:tcW w:type="dxa" w:w="215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策略版本</w:t>
            </w:r>
          </w:p>
        </w:tc>
        <w:tc>
          <w:tcPr>
            <w:tcW w:type="dxa" w:w="721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approved_version、有效风险政策、allowed_environment、主动监控和 RDP 可追溯。</w:t>
            </w:r>
          </w:p>
        </w:tc>
      </w:tr>
      <w:tr>
        <w:trPr>
          <w:cantSplit w:val="true"/>
        </w:trPr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成本</w:t>
            </w:r>
          </w:p>
        </w:tc>
        <w:tc>
          <w:tcPr>
            <w:tcW w:type="dxa" w:w="7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佣金、税、借券、资金费率、滑点、冲击、保证金、结算、清算和容量。</w:t>
            </w:r>
          </w:p>
        </w:tc>
      </w:tr>
      <w:tr>
        <w:trPr>
          <w:cantSplit w:val="true"/>
        </w:trPr>
        <w:tc>
          <w:tcPr>
            <w:tcW w:type="dxa" w:w="215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订单</w:t>
            </w:r>
          </w:p>
        </w:tc>
        <w:tc>
          <w:tcPr>
            <w:tcW w:type="dxa" w:w="721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execution_guard_passed、idempotency_key、audit_record。</w:t>
            </w:r>
          </w:p>
        </w:tc>
      </w:tr>
      <w:tr>
        <w:trPr>
          <w:cantSplit w:val="true"/>
        </w:trPr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故障</w:t>
            </w:r>
          </w:p>
        </w:tc>
        <w:tc>
          <w:tcPr>
            <w:tcW w:type="dxa" w:w="7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HALT、截断、不可幂等副作用、对账、kill switch 和恢复规则。</w:t>
            </w:r>
          </w:p>
        </w:tc>
      </w:tr>
      <w:tr>
        <w:trPr>
          <w:cantSplit w:val="true"/>
        </w:trPr>
        <w:tc>
          <w:tcPr>
            <w:tcW w:type="dxa" w:w="215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用户确认</w:t>
            </w:r>
          </w:p>
        </w:tc>
        <w:tc>
          <w:tcPr>
            <w:tcW w:type="dxa" w:w="721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风险、推荐路径、替代方案和责任边界可见；重大放宽需明确记录。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不可被 waiver 绕过的红线</w:t>
      </w:r>
    </w:p>
    <w:p>
      <w:pPr>
        <w:pStyle w:val="QuantBTBullet"/>
        <w:numPr>
          <w:ilvl w:val="0"/>
          <w:numId w:val="10"/>
        </w:numPr>
        <w:keepLines/>
      </w:pPr>
      <w:r>
        <w:t>账户与执行权限。</w:t>
      </w:r>
    </w:p>
    <w:p>
      <w:pPr>
        <w:pStyle w:val="QuantBTBullet"/>
        <w:numPr>
          <w:ilvl w:val="0"/>
          <w:numId w:val="10"/>
        </w:numPr>
        <w:keepLines/>
      </w:pPr>
      <w:r>
        <w:t>Secret 隔离。</w:t>
      </w:r>
    </w:p>
    <w:p>
      <w:pPr>
        <w:pStyle w:val="QuantBTBullet"/>
        <w:numPr>
          <w:ilvl w:val="0"/>
          <w:numId w:val="10"/>
        </w:numPr>
        <w:keepLines/>
      </w:pPr>
      <w:r>
        <w:t>OrderGuard、幂等、kill switch 和审计。</w:t>
      </w:r>
    </w:p>
    <w:p>
      <w:pPr>
        <w:pStyle w:val="QuantBTBullet"/>
        <w:numPr>
          <w:ilvl w:val="0"/>
          <w:numId w:val="10"/>
        </w:numPr>
        <w:keepLines/>
      </w:pPr>
      <w:r>
        <w:t>禁止 silent mock。</w:t>
      </w:r>
    </w:p>
    <w:p>
      <w:pPr>
        <w:pStyle w:val="QuantBTBullet"/>
        <w:numPr>
          <w:ilvl w:val="0"/>
          <w:numId w:val="10"/>
        </w:numPr>
        <w:keepLines/>
      </w:pPr>
      <w:r>
        <w:t>HALT 后自动重发单。</w:t>
      </w:r>
    </w:p>
    <w:p>
      <w:pPr>
        <w:spacing w:before="120" w:after="200" w:line="269" w:lineRule="auto"/>
        <w:ind w:left="144" w:right="144"/>
        <w:shd w:fill="FFF8E8"/>
        <w:pBdr>
          <w:left w:val="single" w:sz="18" w:space="8" w:color="7A5A00"/>
        </w:pBdr>
        <w:keepLines/>
      </w:pPr>
      <w:r>
        <w:rPr>
          <w:rFonts w:ascii="Arial Unicode MS" w:hAnsi="Arial Unicode MS" w:eastAsia="Arial Unicode MS"/>
          <w:b/>
          <w:color w:val="7A5A00"/>
          <w:sz w:val="21"/>
        </w:rPr>
        <w:t>A 股边界：</w:t>
      </w:r>
      <w:r>
        <w:rPr>
          <w:rFonts w:ascii="Arial Unicode MS" w:hAnsi="Arial Unicode MS" w:eastAsia="Arial Unicode MS"/>
          <w:color w:val="222222"/>
          <w:sz w:val="21"/>
        </w:rPr>
        <w:t>GOAL 明确写明当前 A 股支持研究、回测和 paper。A 股 live 需要未来明确治理决策、券商网关、安全门、监管边界和用户确认全部落地。终态报告不能把这一条件写成已经开通。</w:t>
      </w:r>
    </w:p>
    <w:p>
      <w:pPr>
        <w:pStyle w:val="QuantBTSource"/>
      </w:pPr>
      <w:r>
        <w:rPr>
          <w:rFonts w:ascii="Arial Unicode MS" w:hAnsi="Arial Unicode MS" w:eastAsia="Arial Unicode MS"/>
          <w:color w:val="5F6368"/>
          <w:sz w:val="17"/>
        </w:rPr>
        <w:t>终态依据：dev/GOAL.md §11、§12、§13、§16。</w:t>
      </w:r>
    </w:p>
    <w:p>
      <w:pPr>
        <w:pStyle w:val="Heading1"/>
        <w:keepNext/>
        <w:keepLines/>
      </w:pPr>
      <w:bookmarkStart w:id="113" w:name="sec13"/>
      <w:r>
        <w:t>13. 全资产生命周期与交付包</w:t>
      </w:r>
      <w:bookmarkEnd w:id="113"/>
    </w:p>
    <w:p>
      <w:pPr>
        <w:keepLines/>
      </w:pPr>
      <w:r>
        <w:t>生命周期管理的对象包括研究、数据源、Integration、IngestionSkill、Dataset、Observable、数学资产、理论实现绑定、LLM Provider、Auth、ModelRoutingPolicy、因子、模型、信号、StrategyBook、Portfolio/Risk/Execution Policy 和 Experiment/Run。</w:t>
      </w:r>
    </w:p>
    <w:p>
      <w:pPr>
        <w:pStyle w:val="Heading2"/>
        <w:keepNext/>
        <w:keepLines/>
      </w:pPr>
      <w:r>
        <w:t>五条在 GOAL 中明确展开的生命周期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  <w:tblInd w:type="dxa" w:w="120"/>
      </w:tblPr>
      <w:tblGrid>
        <w:gridCol w:w="2300"/>
        <w:gridCol w:w="7060"/>
      </w:tblGrid>
      <w:tr>
        <w:trPr>
          <w:tblHeader w:val="true"/>
          <w:cantSplit w:val="true"/>
        </w:trPr>
        <w:tc>
          <w:tcPr>
            <w:tcW w:type="dxa" w:w="230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生命周期</w:t>
            </w:r>
          </w:p>
        </w:tc>
        <w:tc>
          <w:tcPr>
            <w:tcW w:type="dxa" w:w="70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状态路径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Research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研究问题 → 来源摄入 → 证据抽取 → 假设/反假设 → 数学定义 → 实验计划 → 数据锁定 → 实现 → run → 验证/挑战 → claim/no-claim → RDP → 晋级/拒绝 → 复核/矛盾/退役。</w:t>
            </w:r>
          </w:p>
        </w:tc>
      </w:tr>
      <w:tr>
        <w:trPr>
          <w:cantSplit w:val="true"/>
        </w:trPr>
        <w:tc>
          <w:tcPr>
            <w:tcW w:type="dxa" w:w="230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StrategyBook</w:t>
            </w:r>
          </w:p>
        </w:tc>
        <w:tc>
          <w:tcPr>
            <w:tcW w:type="dxa" w:w="706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idea → draft → legs/universe/constraints/costs → 关联因子/模型/信号 → 回测候选 → ValidationDossier → paper/testnet 候选 → approved runtime → monitored runtime → suspended/demoted/retired → fork/clone/archive。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DataSource / Integration / IngestionSkill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发现 → 分类 → Settings → secret → 连接测试 → schema/profile → 字段映射 → 时间语义 → Skill 生成 → dry-run → 质量测试 → DatasetVersion → 注册 → 定时/事件更新 → freshness/drift → repair/revoke/retire。</w:t>
            </w:r>
          </w:p>
        </w:tc>
      </w:tr>
      <w:tr>
        <w:trPr>
          <w:cantSplit w:val="true"/>
        </w:trPr>
        <w:tc>
          <w:tcPr>
            <w:tcW w:type="dxa" w:w="230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Mathematical Spine</w:t>
            </w:r>
          </w:p>
        </w:tc>
        <w:tc>
          <w:tcPr>
            <w:tcW w:type="dxa" w:w="706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数学需求 → 方法选择 → TheorySpec/Artifact → 假设/定义/推导/反例 → ImplementationSpec → 代码绑定 → unit/property/simulation/numerical check → Binding → ConsistencyCheck → used_by → revision/waive/retire。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LLM Provider / Auth / Routing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provider 发现 → 类型与认证方式 → Settings wizard → API key/OAuth/device code/CLI/enterprise setup → SecretRef/TokenRef → 连接测试 → model profile → credential pool → 成本/额度/留存政策 → routing → role binding → 健康/额度监控 → rotation/revoke/retire。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资产库保存的共同信息</w:t>
      </w:r>
    </w:p>
    <w:p>
      <w:pPr>
        <w:keepLines/>
      </w:pPr>
      <w:r>
        <w:t>identity、version、category、tags、owner、definition、intended_use、economic_rationale、applicable_assets、assumptions、known_limits、dependencies、evidence_refs、validation_plan、verdict、lifecycle_state、uses、used_by、promotion_history 和 retire_reason。资产类型区分 example、template、demo、tutorial、user_asset 和 production_asset。</w:t>
      </w:r>
    </w:p>
    <w:p>
      <w:pPr>
        <w:pStyle w:val="Heading2"/>
        <w:keepNext/>
        <w:keepLines/>
      </w:pPr>
      <w:r>
        <w:t>Research Delivery Package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  <w:tblInd w:type="dxa" w:w="120"/>
      </w:tblPr>
      <w:tblGrid>
        <w:gridCol w:w="2050"/>
        <w:gridCol w:w="7310"/>
      </w:tblGrid>
      <w:tr>
        <w:trPr>
          <w:tblHeader w:val="true"/>
          <w:cantSplit w:val="true"/>
        </w:trPr>
        <w:tc>
          <w:tcPr>
            <w:tcW w:type="dxa" w:w="205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RDP 分组</w:t>
            </w:r>
          </w:p>
        </w:tc>
        <w:tc>
          <w:tcPr>
            <w:tcW w:type="dxa" w:w="731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研究与证据</w:t>
            </w:r>
          </w:p>
        </w:tc>
        <w:tc>
          <w:tcPr>
            <w:tcW w:type="dxa" w:w="7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manifest、研究命题、Research Graph、来源、EvidenceSpan、已知限制、未验证残余、Verifier verdict。</w:t>
            </w:r>
          </w:p>
        </w:tc>
      </w:tr>
      <w:tr>
        <w:trPr>
          <w:cantSplit w:val="true"/>
        </w:trPr>
        <w:tc>
          <w:tcPr>
            <w:tcW w:type="dxa" w:w="205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数据</w:t>
            </w:r>
          </w:p>
        </w:tc>
        <w:tc>
          <w:tcPr>
            <w:tcW w:type="dxa" w:w="731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PIT 语义、DataSource、IngestionSkill、DatasetVersion、checksum、lineage、质量与 freshness。</w:t>
            </w:r>
          </w:p>
        </w:tc>
      </w:tr>
      <w:tr>
        <w:trPr>
          <w:cantSplit w:val="true"/>
        </w:trP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数学</w:t>
            </w:r>
          </w:p>
        </w:tc>
        <w:tc>
          <w:tcPr>
            <w:tcW w:type="dxa" w:w="7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数学定义、TheorySpec、Binding、ConsistencyCheck、方法选择和责任披露。</w:t>
            </w:r>
          </w:p>
        </w:tc>
      </w:tr>
      <w:tr>
        <w:trPr>
          <w:cantSplit w:val="true"/>
        </w:trPr>
        <w:tc>
          <w:tcPr>
            <w:tcW w:type="dxa" w:w="205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资产</w:t>
            </w:r>
          </w:p>
        </w:tc>
        <w:tc>
          <w:tcPr>
            <w:tcW w:type="dxa" w:w="731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因子、模型、信号、StrategyBook 和政策版本。</w:t>
            </w:r>
          </w:p>
        </w:tc>
      </w:tr>
      <w:tr>
        <w:trPr>
          <w:cantSplit w:val="true"/>
        </w:trP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复现</w:t>
            </w:r>
          </w:p>
        </w:tc>
        <w:tc>
          <w:tcPr>
            <w:tcW w:type="dxa" w:w="7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代码、环境、hash、seed、source refs、artifact hash、environment lock 和 reproducibility command。</w:t>
            </w:r>
          </w:p>
        </w:tc>
      </w:tr>
      <w:tr>
        <w:trPr>
          <w:cantSplit w:val="true"/>
        </w:trPr>
        <w:tc>
          <w:tcPr>
            <w:tcW w:type="dxa" w:w="205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验证</w:t>
            </w:r>
          </w:p>
        </w:tc>
        <w:tc>
          <w:tcPr>
            <w:tcW w:type="dxa" w:w="731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测试、对抗测试、训练、回测、验证 run、honest-N、选择过程、成本与执行假设、归因。</w:t>
            </w:r>
          </w:p>
        </w:tc>
      </w:tr>
      <w:tr>
        <w:trPr>
          <w:cantSplit w:val="true"/>
        </w:trP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治理与运行</w:t>
            </w:r>
          </w:p>
        </w:tc>
        <w:tc>
          <w:tcPr>
            <w:tcW w:type="dxa" w:w="7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Approval、promotion、deployment、monitor、rollback 和 retire 清单。</w:t>
            </w:r>
          </w:p>
        </w:tc>
      </w:tr>
      <w:tr>
        <w:trPr>
          <w:cantSplit w:val="true"/>
        </w:trPr>
        <w:tc>
          <w:tcPr>
            <w:tcW w:type="dxa" w:w="205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LLM</w:t>
            </w:r>
          </w:p>
        </w:tc>
        <w:tc>
          <w:tcPr>
            <w:tcW w:type="dxa" w:w="731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Provider、ModelRoutingPolicy、LLMCallRecord 和 replay state。</w:t>
            </w:r>
          </w:p>
        </w:tc>
      </w:tr>
    </w:tbl>
    <w:p>
      <w:pPr>
        <w:spacing w:after="40"/>
      </w:pPr>
    </w:p>
    <w:p>
      <w:pPr>
        <w:pStyle w:val="QuantBTSource"/>
      </w:pPr>
      <w:r>
        <w:rPr>
          <w:rFonts w:ascii="Arial Unicode MS" w:hAnsi="Arial Unicode MS" w:eastAsia="Arial Unicode MS"/>
          <w:color w:val="5F6368"/>
          <w:sz w:val="17"/>
        </w:rPr>
        <w:t>终态依据：dev/GOAL.md §3、§17。</w:t>
      </w:r>
    </w:p>
    <w:p>
      <w:pPr>
        <w:pStyle w:val="Heading1"/>
        <w:keepNext/>
        <w:keepLines/>
      </w:pPr>
      <w:bookmarkStart w:id="114" w:name="sec14"/>
      <w:r>
        <w:t>14. M1–M21 终态能力全景</w:t>
      </w:r>
      <w:bookmarkEnd w:id="114"/>
    </w:p>
    <w:p>
      <w:pPr>
        <w:keepLines/>
      </w:pPr>
      <w:r>
        <w:t>M1–M21 把研究、工程、前端、社区、教学和安全放在同一终态框架里。以下按业务语言改写，能力名称与范围仍以 GOAL 为准。</w:t>
      </w:r>
    </w:p>
    <w:p>
      <w:pPr>
        <w:pStyle w:val="Heading2"/>
        <w:keepNext/>
        <w:keepLines/>
      </w:pPr>
      <w:r>
        <w:t>M1–M7：研究定义、数据、特征、标签、模型与信号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  <w:tblInd w:type="dxa" w:w="120"/>
      </w:tblPr>
      <w:tblGrid>
        <w:gridCol w:w="1650"/>
        <w:gridCol w:w="7710"/>
      </w:tblGrid>
      <w:tr>
        <w:trPr>
          <w:tblHeader w:val="true"/>
          <w:cantSplit w:val="true"/>
        </w:trPr>
        <w:tc>
          <w:tcPr>
            <w:tcW w:type="dxa" w:w="165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模块</w:t>
            </w:r>
          </w:p>
        </w:tc>
        <w:tc>
          <w:tcPr>
            <w:tcW w:type="dxa" w:w="771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终态能力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M1–M2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目标、假设、动态池和 regime 风险情景进入 QRO。</w:t>
            </w:r>
          </w:p>
        </w:tc>
      </w:tr>
      <w:tr>
        <w:trPr>
          <w:cantSplit w:val="true"/>
        </w:trPr>
        <w:tc>
          <w:tcPr>
            <w:tcW w:type="dxa" w:w="165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M3</w:t>
            </w:r>
          </w:p>
        </w:tc>
        <w:tc>
          <w:tcPr>
            <w:tcW w:type="dxa" w:w="771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多源接入、Settings/Secrets、IngestionSkill、宽字段、PIT、InstrumentSpec 和公开二级市场接入模型。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M4–M5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时序与横截面特征、三重障碍、防泄露合同和标签资产化。</w:t>
            </w:r>
          </w:p>
        </w:tc>
      </w:tr>
      <w:tr>
        <w:trPr>
          <w:cantSplit w:val="true"/>
        </w:trPr>
        <w:tc>
          <w:tcPr>
            <w:tcW w:type="dxa" w:w="165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M6</w:t>
            </w:r>
          </w:p>
        </w:tc>
        <w:tc>
          <w:tcPr>
            <w:tcW w:type="dxa" w:w="771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训练台、模型卡、模型护照、ML/DL Registry、训练到验证和模型治理。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M7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Signal Contract、信号融合、阈值、置信度、过期、弃权和冲突处理。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M8–M14：策略、执行、验证、生命周期、实验、调度与 Agent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  <w:tblInd w:type="dxa" w:w="120"/>
      </w:tblPr>
      <w:tblGrid>
        <w:gridCol w:w="1650"/>
        <w:gridCol w:w="7710"/>
      </w:tblGrid>
      <w:tr>
        <w:trPr>
          <w:tblHeader w:val="true"/>
          <w:cantSplit w:val="true"/>
        </w:trPr>
        <w:tc>
          <w:tcPr>
            <w:tcW w:type="dxa" w:w="165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模块</w:t>
            </w:r>
          </w:p>
        </w:tc>
        <w:tc>
          <w:tcPr>
            <w:tcW w:type="dxa" w:w="771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终态能力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M8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组合优化、StrategyBook、多腿表达和跨市场组合。</w:t>
            </w:r>
          </w:p>
        </w:tc>
      </w:tr>
      <w:tr>
        <w:trPr>
          <w:cantSplit w:val="true"/>
        </w:trPr>
        <w:tc>
          <w:tcPr>
            <w:tcW w:type="dxa" w:w="165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M9</w:t>
            </w:r>
          </w:p>
        </w:tc>
        <w:tc>
          <w:tcPr>
            <w:tcW w:type="dxa" w:w="771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paper/testnet/live 阶梯、risk gate、kill switch、成本、权限和 MarketCapabilityMatrix。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M10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PBO/DSR/bootstrap、Brinson、cost drift、live 监控和数学触发器绑定。</w:t>
            </w:r>
          </w:p>
        </w:tc>
      </w:tr>
      <w:tr>
        <w:trPr>
          <w:cantSplit w:val="true"/>
        </w:trPr>
        <w:tc>
          <w:tcPr>
            <w:tcW w:type="dxa" w:w="165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M11</w:t>
            </w:r>
          </w:p>
        </w:tc>
        <w:tc>
          <w:tcPr>
            <w:tcW w:type="dxa" w:w="771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因子、策略、模型、信号、研究、数据和政策的完整生命周期。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M12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append-only 实验与模型注册表、lineage、promotion、approval、model passport 和 recertification。</w:t>
            </w:r>
          </w:p>
        </w:tc>
      </w:tr>
      <w:tr>
        <w:trPr>
          <w:cantSplit w:val="true"/>
        </w:trPr>
        <w:tc>
          <w:tcPr>
            <w:tcW w:type="dxa" w:w="165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M13</w:t>
            </w:r>
          </w:p>
        </w:tc>
        <w:tc>
          <w:tcPr>
            <w:tcW w:type="dxa" w:w="771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deterministic DAG、checkpoint、replay、fork、rollback，作为 Agent OS kernel。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M14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常驻多 Agent、LLM Gateway、Model Routing、Credential Pool、Mathematical Spine、台权限隔离和模型/工具调用落账。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M15–M21：交互、社区、跟单、IDE、教学、安全与示例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  <w:tblInd w:type="dxa" w:w="120"/>
      </w:tblPr>
      <w:tblGrid>
        <w:gridCol w:w="1650"/>
        <w:gridCol w:w="7710"/>
      </w:tblGrid>
      <w:tr>
        <w:trPr>
          <w:tblHeader w:val="true"/>
          <w:cantSplit w:val="true"/>
        </w:trPr>
        <w:tc>
          <w:tcPr>
            <w:tcW w:type="dxa" w:w="165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模块</w:t>
            </w:r>
          </w:p>
        </w:tc>
        <w:tc>
          <w:tcPr>
            <w:tcW w:type="dxa" w:w="771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终态能力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M15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分台 Typed Canvas / Workbench，同一 Research Graph 的不同投影。</w:t>
            </w:r>
          </w:p>
        </w:tc>
      </w:tr>
      <w:tr>
        <w:trPr>
          <w:cantSplit w:val="true"/>
        </w:trPr>
        <w:tc>
          <w:tcPr>
            <w:tcW w:type="dxa" w:w="165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M16</w:t>
            </w:r>
          </w:p>
        </w:tc>
        <w:tc>
          <w:tcPr>
            <w:tcW w:type="dxa" w:w="771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社区共享资产、研究包、模板和示例，保留权限、来源和状态。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M17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跟单分离信号、策略和执行权限，动作经过 risk gate 与 audit。</w:t>
            </w:r>
          </w:p>
        </w:tc>
      </w:tr>
      <w:tr>
        <w:trPr>
          <w:cantSplit w:val="true"/>
        </w:trPr>
        <w:tc>
          <w:tcPr>
            <w:tcW w:type="dxa" w:w="165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M18</w:t>
            </w:r>
          </w:p>
        </w:tc>
        <w:tc>
          <w:tcPr>
            <w:tcW w:type="dxa" w:w="771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IDE 中用户或 Agent 的代码改动进入 canonical command、Binding、ConsistencyCheck、测试和 RDP。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M19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教学材料明确 tutorial/example/template 分类，弱点和证据可下钻。</w:t>
            </w:r>
          </w:p>
        </w:tc>
      </w:tr>
      <w:tr>
        <w:trPr>
          <w:cantSplit w:val="true"/>
        </w:trPr>
        <w:tc>
          <w:tcPr>
            <w:tcW w:type="dxa" w:w="165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M20</w:t>
            </w:r>
          </w:p>
        </w:tc>
        <w:tc>
          <w:tcPr>
            <w:tcW w:type="dxa" w:w="771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SafeKey、Ladder、SecretRef、TokenRef、LLM Gateway、kill switch 和权限门。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M21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demo、template、example 带 mock 标识和资产类型，不能混入 production asset。</w:t>
            </w:r>
          </w:p>
        </w:tc>
      </w:tr>
    </w:tbl>
    <w:p>
      <w:pPr>
        <w:spacing w:after="40"/>
      </w:pPr>
    </w:p>
    <w:p>
      <w:pPr>
        <w:pStyle w:val="QuantBTSource"/>
      </w:pPr>
      <w:r>
        <w:rPr>
          <w:rFonts w:ascii="Arial Unicode MS" w:hAnsi="Arial Unicode MS" w:eastAsia="Arial Unicode MS"/>
          <w:color w:val="5F6368"/>
          <w:sz w:val="17"/>
        </w:rPr>
        <w:t>终态依据：dev/GOAL.md §14。</w:t>
      </w:r>
    </w:p>
    <w:p>
      <w:pPr>
        <w:pStyle w:val="Heading1"/>
        <w:keepNext/>
        <w:keepLines/>
      </w:pPr>
      <w:bookmarkStart w:id="115" w:name="sec15"/>
      <w:r>
        <w:t>15. 面向个人用户的使用方式</w:t>
      </w:r>
      <w:bookmarkEnd w:id="115"/>
    </w:p>
    <w:p>
      <w:pPr>
        <w:pStyle w:val="Heading2"/>
        <w:keepNext/>
        <w:keepLines/>
      </w:pPr>
      <w:r>
        <w:t>适合的用户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  <w:tblInd w:type="dxa" w:w="120"/>
      </w:tblPr>
      <w:tblGrid>
        <w:gridCol w:w="1750"/>
        <w:gridCol w:w="3450"/>
        <w:gridCol w:w="4160"/>
      </w:tblGrid>
      <w:tr>
        <w:trPr>
          <w:tblHeader w:val="true"/>
          <w:cantSplit w:val="true"/>
        </w:trPr>
        <w:tc>
          <w:tcPr>
            <w:tcW w:type="dxa" w:w="175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用户</w:t>
            </w:r>
          </w:p>
        </w:tc>
        <w:tc>
          <w:tcPr>
            <w:tcW w:type="dxa" w:w="345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典型起点</w:t>
            </w:r>
          </w:p>
        </w:tc>
        <w:tc>
          <w:tcPr>
            <w:tcW w:type="dxa" w:w="41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平台接手的复杂工作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独立量化研究者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有研究想法或代码，但缺数据治理、验证和长期资产管理。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数据版本、方法选择、回测验证、证据账本、监控与 RDP。</w:t>
            </w:r>
          </w:p>
        </w:tc>
      </w:tr>
      <w:tr>
        <w:trPr>
          <w:cantSplit w:val="true"/>
        </w:trPr>
        <w:tc>
          <w:tcPr>
            <w:tcW w:type="dxa" w:w="175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主观交易员</w:t>
            </w:r>
          </w:p>
        </w:tc>
        <w:tc>
          <w:tcPr>
            <w:tcW w:type="dxa" w:w="345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有市场经验和交易逻辑，希望把经验写成可测试规则。</w:t>
            </w:r>
          </w:p>
        </w:tc>
        <w:tc>
          <w:tcPr>
            <w:tcW w:type="dxa" w:w="416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假设与反假设、因子/信号定义、成本、StrategyBook、paper 和监控。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金融工程学习者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会 Python、统计或机器学习，但缺机构研究流程。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术语解释、数学绑定、防泄露、验证方法、模板、示例和失败案例。</w:t>
            </w:r>
          </w:p>
        </w:tc>
      </w:tr>
      <w:tr>
        <w:trPr>
          <w:cantSplit w:val="true"/>
        </w:trPr>
        <w:tc>
          <w:tcPr>
            <w:tcW w:type="dxa" w:w="175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专业投资者</w:t>
            </w:r>
          </w:p>
        </w:tc>
        <w:tc>
          <w:tcPr>
            <w:tcW w:type="dxa" w:w="345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需要跨资产研究和风险约束，不想维护多套工具。</w:t>
            </w:r>
          </w:p>
        </w:tc>
        <w:tc>
          <w:tcPr>
            <w:tcW w:type="dxa" w:w="416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InstrumentSpec、跨市场资本账、成本、组合、归因和执行门。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小型研究团队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成员不多，需要共享资产、权限、审批和可复现交付。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Research Graph、DeskHandoff、角色分工、审批、审计和社区分享边界。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四种典型使用路径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  <w:tblInd w:type="dxa" w:w="120"/>
      </w:tblPr>
      <w:tblGrid>
        <w:gridCol w:w="2050"/>
        <w:gridCol w:w="7310"/>
      </w:tblGrid>
      <w:tr>
        <w:trPr>
          <w:tblHeader w:val="true"/>
          <w:cantSplit w:val="true"/>
        </w:trPr>
        <w:tc>
          <w:tcPr>
            <w:tcW w:type="dxa" w:w="205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起点</w:t>
            </w:r>
          </w:p>
        </w:tc>
        <w:tc>
          <w:tcPr>
            <w:tcW w:type="dxa" w:w="731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平台内路径</w:t>
            </w:r>
          </w:p>
        </w:tc>
      </w:tr>
      <w:tr>
        <w:trPr>
          <w:cantSplit w:val="true"/>
        </w:trP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一句研究想法</w:t>
            </w:r>
          </w:p>
        </w:tc>
        <w:tc>
          <w:tcPr>
            <w:tcW w:type="dxa" w:w="7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Agent Shell 拆解问题 → 找证据 → 定义假设与数学 → 生成数据和验证计划 → 形成可运行研究。</w:t>
            </w:r>
          </w:p>
        </w:tc>
      </w:tr>
      <w:tr>
        <w:trPr>
          <w:cantSplit w:val="true"/>
        </w:trPr>
        <w:tc>
          <w:tcPr>
            <w:tcW w:type="dxa" w:w="205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一份论文或研报</w:t>
            </w:r>
          </w:p>
        </w:tc>
        <w:tc>
          <w:tcPr>
            <w:tcW w:type="dxa" w:w="731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文档隔离与解析 → EvidenceSpan → 提取策略或模型声明 → 预注册 → 实现与挑战 → RDP。</w:t>
            </w:r>
          </w:p>
        </w:tc>
      </w:tr>
      <w:tr>
        <w:trPr>
          <w:cantSplit w:val="true"/>
        </w:trP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一段因子或模型代码</w:t>
            </w:r>
          </w:p>
        </w:tc>
        <w:tc>
          <w:tcPr>
            <w:tcW w:type="dxa" w:w="7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识别对象类型 → 检查数据时点、单位和泄露 → 绑定 TheorySpec → 测试/仿真 → 验证和登记。</w:t>
            </w:r>
          </w:p>
        </w:tc>
      </w:tr>
      <w:tr>
        <w:trPr>
          <w:cantSplit w:val="true"/>
        </w:trPr>
        <w:tc>
          <w:tcPr>
            <w:tcW w:type="dxa" w:w="205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一个交易策略</w:t>
            </w:r>
          </w:p>
        </w:tc>
        <w:tc>
          <w:tcPr>
            <w:tcW w:type="dxa" w:w="731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StrategyBook → 成本与容量 → 回测与反证 → paper/testnet → 小额 live → 监控、降级或退役。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用户不必被强迫成为流程专家</w:t>
      </w:r>
    </w:p>
    <w:p>
      <w:pPr>
        <w:keepLines/>
      </w:pPr>
      <w:r>
        <w:t>入门用户可以从问题、文档、代码、画布或模板开始。平台负责提示缺失字段、解释方法代价、调用已授权工具和记录证据。专业用户可以直接使用 API、IDE、Canvas 或 Scheduler，并保留同一对象和审计链。</w:t>
      </w:r>
    </w:p>
    <w:p>
      <w:pPr>
        <w:spacing w:before="120" w:after="200" w:line="269" w:lineRule="auto"/>
        <w:ind w:left="144" w:right="144"/>
        <w:shd w:fill="EAF1F8"/>
        <w:pBdr>
          <w:left w:val="single" w:sz="18" w:space="8" w:color="1F4D78"/>
        </w:pBdr>
        <w:keepLines/>
      </w:pPr>
      <w:r>
        <w:rPr>
          <w:rFonts w:ascii="Arial Unicode MS" w:hAnsi="Arial Unicode MS" w:eastAsia="Arial Unicode MS"/>
          <w:b/>
          <w:color w:val="17365D"/>
          <w:sz w:val="21"/>
        </w:rPr>
        <w:t>Inference:</w:t>
      </w:r>
      <w:r>
        <w:rPr>
          <w:rFonts w:ascii="Arial Unicode MS" w:hAnsi="Arial Unicode MS" w:eastAsia="Arial Unicode MS"/>
          <w:color w:val="222222"/>
          <w:sz w:val="21"/>
        </w:rPr>
        <w:t>面向 C 端销售时，最有辨识度的卖点不是“自动写策略”，而是“把一个人的研究过程升级为可复现、可挑战、可交付、可受控执行的机构流程”。自动化只是手段，研究资产和可信边界才是长期价值。</w:t>
      </w:r>
    </w:p>
    <w:p>
      <w:pPr>
        <w:pStyle w:val="QuantBTSource"/>
      </w:pPr>
      <w:r>
        <w:rPr>
          <w:rFonts w:ascii="Arial Unicode MS" w:hAnsi="Arial Unicode MS" w:eastAsia="Arial Unicode MS"/>
          <w:color w:val="5F6368"/>
          <w:sz w:val="17"/>
        </w:rPr>
        <w:t>终态依据：dev/GOAL.md §0、§2、§7、§13、§14。</w:t>
      </w:r>
    </w:p>
    <w:p>
      <w:pPr>
        <w:pStyle w:val="Heading1"/>
        <w:keepNext/>
        <w:keepLines/>
      </w:pPr>
      <w:bookmarkStart w:id="116" w:name="sec16"/>
      <w:r>
        <w:t>16. 终态边界与诚实说明</w:t>
      </w:r>
      <w:bookmarkEnd w:id="116"/>
    </w:p>
    <w:p>
      <w:pPr>
        <w:pStyle w:val="Heading2"/>
        <w:keepNext/>
        <w:keepLines/>
      </w:pPr>
      <w:r>
        <w:t>GOAL 明确不覆盖的范围</w:t>
      </w:r>
    </w:p>
    <w:p>
      <w:pPr>
        <w:pStyle w:val="QuantBTBullet"/>
        <w:numPr>
          <w:ilvl w:val="0"/>
          <w:numId w:val="10"/>
        </w:numPr>
        <w:keepLines/>
      </w:pPr>
      <w:r>
        <w:t>IPO、一级市场、私募和非公开交易。</w:t>
      </w:r>
    </w:p>
    <w:p>
      <w:pPr>
        <w:pStyle w:val="QuantBTBullet"/>
        <w:numPr>
          <w:ilvl w:val="0"/>
          <w:numId w:val="10"/>
        </w:numPr>
        <w:keepLines/>
      </w:pPr>
      <w:r>
        <w:t>高频交易、做市和延迟套利。</w:t>
      </w:r>
    </w:p>
    <w:p>
      <w:pPr>
        <w:pStyle w:val="QuantBTBullet"/>
        <w:numPr>
          <w:ilvl w:val="0"/>
          <w:numId w:val="10"/>
        </w:numPr>
        <w:keepLines/>
      </w:pPr>
      <w:r>
        <w:t>无权限、无合规网关、无成本模型或无安全门的 live 执行。</w:t>
      </w:r>
    </w:p>
    <w:p>
      <w:pPr>
        <w:pStyle w:val="QuantBTBullet"/>
        <w:numPr>
          <w:ilvl w:val="0"/>
          <w:numId w:val="10"/>
        </w:numPr>
        <w:keepLines/>
      </w:pPr>
      <w:r>
        <w:t>保证收益、稳赢策略或把回测当未来收益承诺。</w:t>
      </w:r>
    </w:p>
    <w:p>
      <w:pPr>
        <w:pStyle w:val="QuantBTBullet"/>
        <w:numPr>
          <w:ilvl w:val="0"/>
          <w:numId w:val="10"/>
        </w:numPr>
        <w:keepLines/>
      </w:pPr>
      <w:r>
        <w:t>把用户 waiver 包装成 proof-backed、evidence sufficient 或 production-ready。</w:t>
      </w:r>
    </w:p>
    <w:p>
      <w:pPr>
        <w:pStyle w:val="QuantBTBullet"/>
        <w:numPr>
          <w:ilvl w:val="0"/>
          <w:numId w:val="10"/>
        </w:numPr>
        <w:keepLines/>
      </w:pPr>
      <w:r>
        <w:t>让 Agent 替用户作方法学、风险和真钱决策。</w:t>
      </w:r>
    </w:p>
    <w:p>
      <w:pPr>
        <w:pStyle w:val="Heading2"/>
        <w:keepNext/>
        <w:keepLines/>
      </w:pPr>
      <w:r>
        <w:t>当前交付状态不在本报告中被推断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  <w:tblInd w:type="dxa" w:w="120"/>
      </w:tblPr>
      <w:tblGrid>
        <w:gridCol w:w="2100"/>
        <w:gridCol w:w="7260"/>
      </w:tblGrid>
      <w:tr>
        <w:trPr>
          <w:tblHeader w:val="true"/>
          <w:cantSplit w:val="true"/>
        </w:trPr>
        <w:tc>
          <w:tcPr>
            <w:tcW w:type="dxa" w:w="210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交付字段</w:t>
            </w:r>
          </w:p>
        </w:tc>
        <w:tc>
          <w:tcPr>
            <w:tcW w:type="dxa" w:w="72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本报告状态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本地检出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仅核对 GOAL 终态文档，并生成本报告；不把终态条目视为当前实现完成。</w:t>
            </w:r>
          </w:p>
        </w:tc>
      </w:tr>
      <w:tr>
        <w:trPr>
          <w:cantSplit w:val="true"/>
        </w:trPr>
        <w:tc>
          <w:tcPr>
            <w:tcW w:type="dxa" w:w="210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远程分支或 PR</w:t>
            </w:r>
          </w:p>
        </w:tc>
        <w:tc>
          <w:tcPr>
            <w:tcW w:type="dxa" w:w="726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Unqueried：本报告未查询。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本地测试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Unverified：未用产品测试证明每项终态能力已经实现。</w:t>
            </w:r>
          </w:p>
        </w:tc>
      </w:tr>
      <w:tr>
        <w:trPr>
          <w:cantSplit w:val="true"/>
        </w:trPr>
        <w:tc>
          <w:tcPr>
            <w:tcW w:type="dxa" w:w="210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CI</w:t>
            </w:r>
          </w:p>
        </w:tc>
        <w:tc>
          <w:tcPr>
            <w:tcW w:type="dxa" w:w="726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Unqueried：本报告未查询。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生产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Unqueried：本报告未访问生产环境或真实账户。</w:t>
            </w:r>
          </w:p>
        </w:tc>
      </w:tr>
      <w:tr>
        <w:trPr>
          <w:cantSplit w:val="true"/>
        </w:trPr>
        <w:tc>
          <w:tcPr>
            <w:tcW w:type="dxa" w:w="210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用户验收</w:t>
            </w:r>
          </w:p>
        </w:tc>
        <w:tc>
          <w:tcPr>
            <w:tcW w:type="dxa" w:w="726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Unverified：没有本次 C 端用户验收证据。</w:t>
            </w:r>
          </w:p>
        </w:tc>
      </w:tr>
    </w:tbl>
    <w:p>
      <w:pPr>
        <w:spacing w:after="40"/>
      </w:pPr>
    </w:p>
    <w:p>
      <w:pPr>
        <w:keepLines/>
      </w:pPr>
      <w:r>
        <w:t>对外销售材料可以直接使用本报告的终态定位和能力结构，但每个具体版本的功能页、价格页、合同和演示环境都应附“当前可用能力清单”。终态愿景和当期交付分开，反而更利于建立专业用户的信任。</w:t>
      </w:r>
    </w:p>
    <w:p>
      <w:pPr>
        <w:pStyle w:val="QuantBTSource"/>
      </w:pPr>
      <w:r>
        <w:rPr>
          <w:rFonts w:ascii="Arial Unicode MS" w:hAnsi="Arial Unicode MS" w:eastAsia="Arial Unicode MS"/>
          <w:color w:val="5F6368"/>
          <w:sz w:val="17"/>
        </w:rPr>
        <w:t>终态依据：dev/GOAL.md §0、§12、§13、§16、§17；当前实现需另行验收。</w:t>
      </w:r>
    </w:p>
    <w:p>
      <w:r>
        <w:br w:type="page"/>
      </w:r>
    </w:p>
    <w:p>
      <w:pPr>
        <w:pStyle w:val="Heading1"/>
        <w:keepNext/>
        <w:keepLines/>
      </w:pPr>
      <w:bookmarkStart w:id="117" w:name="appA"/>
      <w:r>
        <w:t>附录 A：GOAL 方法目录</w:t>
      </w:r>
      <w:bookmarkEnd w:id="117"/>
    </w:p>
    <w:p>
      <w:pPr>
        <w:keepLines/>
      </w:pPr>
      <w:r>
        <w:t>以下目录按研究问题整理 GOAL 中明确出现的方法、控制项和数学对象。术语保留英文，旁边给出入门解释。</w:t>
      </w:r>
    </w:p>
    <w:p>
      <w:pPr>
        <w:pStyle w:val="QuantBTSource"/>
      </w:pPr>
      <w:r>
        <w:rPr>
          <w:rFonts w:ascii="Arial Unicode MS" w:hAnsi="Arial Unicode MS" w:eastAsia="Arial Unicode MS"/>
          <w:color w:val="5F6368"/>
          <w:sz w:val="17"/>
        </w:rPr>
        <w:t>终态依据：dev/GOAL.md §6、§9、§10、§11、§12、§14。</w:t>
      </w:r>
    </w:p>
    <w:p>
      <w:pPr>
        <w:pStyle w:val="Heading2"/>
        <w:keepNext/>
        <w:keepLines/>
      </w:pPr>
      <w:r>
        <w:t>A1. 研究设计与证据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  <w:tblInd w:type="dxa" w:w="120"/>
      </w:tblPr>
      <w:tblGrid>
        <w:gridCol w:w="2600"/>
        <w:gridCol w:w="6760"/>
      </w:tblGrid>
      <w:tr>
        <w:trPr>
          <w:tblHeader w:val="true"/>
          <w:cantSplit w:val="true"/>
        </w:trPr>
        <w:tc>
          <w:tcPr>
            <w:tcW w:type="dxa" w:w="260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方法</w:t>
            </w:r>
          </w:p>
        </w:tc>
        <w:tc>
          <w:tcPr>
            <w:tcW w:type="dxa" w:w="67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入门解释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Research question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把想法写成可回答、可证伪的问题。</w:t>
            </w:r>
          </w:p>
        </w:tc>
      </w:tr>
      <w:tr>
        <w:trPr>
          <w:cantSplit w:val="true"/>
        </w:trPr>
        <w:tc>
          <w:tcPr>
            <w:tcW w:type="dxa" w:w="260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Hypothesis / counter-hypothesis</w:t>
            </w:r>
          </w:p>
        </w:tc>
        <w:tc>
          <w:tcPr>
            <w:tcW w:type="dxa" w:w="676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同时写支持解释和竞争解释。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Preregistration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在看结果前固定问题、数据、指标和判定。</w:t>
            </w:r>
          </w:p>
        </w:tc>
      </w:tr>
      <w:tr>
        <w:trPr>
          <w:cantSplit w:val="true"/>
        </w:trPr>
        <w:tc>
          <w:tcPr>
            <w:tcW w:type="dxa" w:w="260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Confirmatory freeze</w:t>
            </w:r>
          </w:p>
        </w:tc>
        <w:tc>
          <w:tcPr>
            <w:tcW w:type="dxa" w:w="676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确认性阶段冻结关键选择，避免结果驱动修改。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EvidenceSpan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记录原文页码、位置、版本、摘录哈希和支持范围。</w:t>
            </w:r>
          </w:p>
        </w:tc>
      </w:tr>
      <w:tr>
        <w:trPr>
          <w:cantSplit w:val="true"/>
        </w:trPr>
        <w:tc>
          <w:tcPr>
            <w:tcW w:type="dxa" w:w="260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Data lock / train-test lock</w:t>
            </w:r>
          </w:p>
        </w:tc>
        <w:tc>
          <w:tcPr>
            <w:tcW w:type="dxa" w:w="676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固定数据或训练测试边界，防止事后更换。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Claim / no-claim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允许正式结论，也允许证据不足时不下结论。</w:t>
            </w:r>
          </w:p>
        </w:tc>
      </w:tr>
      <w:tr>
        <w:trPr>
          <w:cantSplit w:val="true"/>
        </w:trPr>
        <w:tc>
          <w:tcPr>
            <w:tcW w:type="dxa" w:w="260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Verifier challenge</w:t>
            </w:r>
          </w:p>
        </w:tc>
        <w:tc>
          <w:tcPr>
            <w:tcW w:type="dxa" w:w="676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独立质疑假设、来源、数学、代码和运行配置。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A2. 数据时间、偏差与质量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  <w:tblInd w:type="dxa" w:w="120"/>
      </w:tblPr>
      <w:tblGrid>
        <w:gridCol w:w="2600"/>
        <w:gridCol w:w="6760"/>
      </w:tblGrid>
      <w:tr>
        <w:trPr>
          <w:tblHeader w:val="true"/>
          <w:cantSplit w:val="true"/>
        </w:trPr>
        <w:tc>
          <w:tcPr>
            <w:tcW w:type="dxa" w:w="260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方法</w:t>
            </w:r>
          </w:p>
        </w:tc>
        <w:tc>
          <w:tcPr>
            <w:tcW w:type="dxa" w:w="67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入门解释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PIT / bitemporal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按事件发生时间和系统获知时间同时管理数据。</w:t>
            </w:r>
          </w:p>
        </w:tc>
      </w:tr>
      <w:tr>
        <w:trPr>
          <w:cantSplit w:val="true"/>
        </w:trPr>
        <w:tc>
          <w:tcPr>
            <w:tcW w:type="dxa" w:w="260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known_at / effective_at</w:t>
            </w:r>
          </w:p>
        </w:tc>
        <w:tc>
          <w:tcPr>
            <w:tcW w:type="dxa" w:w="676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区分何时知道与何时生效。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as-of join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只连接当时已经可知的最新记录。</w:t>
            </w:r>
          </w:p>
        </w:tc>
      </w:tr>
      <w:tr>
        <w:trPr>
          <w:cantSplit w:val="true"/>
        </w:trPr>
        <w:tc>
          <w:tcPr>
            <w:tcW w:type="dxa" w:w="260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sampling rule</w:t>
            </w:r>
          </w:p>
        </w:tc>
        <w:tc>
          <w:tcPr>
            <w:tcW w:type="dxa" w:w="676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明确频率、采样点和重采样方式。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adjustment rule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记录复权、归一化或其他调整公式。</w:t>
            </w:r>
          </w:p>
        </w:tc>
      </w:tr>
      <w:tr>
        <w:trPr>
          <w:cantSplit w:val="true"/>
        </w:trPr>
        <w:tc>
          <w:tcPr>
            <w:tcW w:type="dxa" w:w="260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missingness model</w:t>
            </w:r>
          </w:p>
        </w:tc>
        <w:tc>
          <w:tcPr>
            <w:tcW w:type="dxa" w:w="676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说明缺失是否随机及如何处理。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survivorship rule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把退市、消失样本和历史成分纳入。</w:t>
            </w:r>
          </w:p>
        </w:tc>
      </w:tr>
      <w:tr>
        <w:trPr>
          <w:cantSplit w:val="true"/>
        </w:trPr>
        <w:tc>
          <w:tcPr>
            <w:tcW w:type="dxa" w:w="260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corporate action transformation</w:t>
            </w:r>
          </w:p>
        </w:tc>
        <w:tc>
          <w:tcPr>
            <w:tcW w:type="dxa" w:w="676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处理分红、拆股、配股等公司行动。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roll construction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说明期货连续合约如何换月和拼接。</w:t>
            </w:r>
          </w:p>
        </w:tc>
      </w:tr>
      <w:tr>
        <w:trPr>
          <w:cantSplit w:val="true"/>
        </w:trPr>
        <w:tc>
          <w:tcPr>
            <w:tcW w:type="dxa" w:w="260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currency conversion</w:t>
            </w:r>
          </w:p>
        </w:tc>
        <w:tc>
          <w:tcPr>
            <w:tcW w:type="dxa" w:w="676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记录汇率来源、时间和基础货币。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schema drift / freshness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监控字段变化和数据是否过期。</w:t>
            </w:r>
          </w:p>
        </w:tc>
      </w:tr>
      <w:tr>
        <w:trPr>
          <w:cantSplit w:val="true"/>
        </w:trPr>
        <w:tc>
          <w:tcPr>
            <w:tcW w:type="dxa" w:w="260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data quality tests</w:t>
            </w:r>
          </w:p>
        </w:tc>
        <w:tc>
          <w:tcPr>
            <w:tcW w:type="dxa" w:w="676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对范围、唯一性、完整性、关系和时间一致性做检查。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A3. 因子、标签、模型与信号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  <w:tblInd w:type="dxa" w:w="120"/>
      </w:tblPr>
      <w:tblGrid>
        <w:gridCol w:w="2600"/>
        <w:gridCol w:w="6760"/>
      </w:tblGrid>
      <w:tr>
        <w:trPr>
          <w:tblHeader w:val="true"/>
          <w:cantSplit w:val="true"/>
        </w:trPr>
        <w:tc>
          <w:tcPr>
            <w:tcW w:type="dxa" w:w="260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方法</w:t>
            </w:r>
          </w:p>
        </w:tc>
        <w:tc>
          <w:tcPr>
            <w:tcW w:type="dxa" w:w="67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入门解释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Factor formula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把计算规则写成版本化公式。</w:t>
            </w:r>
          </w:p>
        </w:tc>
      </w:tr>
      <w:tr>
        <w:trPr>
          <w:cantSplit w:val="true"/>
        </w:trPr>
        <w:tc>
          <w:tcPr>
            <w:tcW w:type="dxa" w:w="260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Expected sign / monotonicity</w:t>
            </w:r>
          </w:p>
        </w:tc>
        <w:tc>
          <w:tcPr>
            <w:tcW w:type="dxa" w:w="676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记录预期方向和是否应单调。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Decay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观察预测力随持有期如何衰减。</w:t>
            </w:r>
          </w:p>
        </w:tc>
      </w:tr>
      <w:tr>
        <w:trPr>
          <w:cantSplit w:val="true"/>
        </w:trPr>
        <w:tc>
          <w:tcPr>
            <w:tcW w:type="dxa" w:w="260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Crowding / capacity</w:t>
            </w:r>
          </w:p>
        </w:tc>
        <w:tc>
          <w:tcPr>
            <w:tcW w:type="dxa" w:w="676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评估交易拥挤和可承载资金。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Factor family / similarity / redundancy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识别同族、相似和重复因子。</w:t>
            </w:r>
          </w:p>
        </w:tc>
      </w:tr>
      <w:tr>
        <w:trPr>
          <w:cantSplit w:val="true"/>
        </w:trPr>
        <w:tc>
          <w:tcPr>
            <w:tcW w:type="dxa" w:w="260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Event / horizon / censoring</w:t>
            </w:r>
          </w:p>
        </w:tc>
        <w:tc>
          <w:tcPr>
            <w:tcW w:type="dxa" w:w="676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定义标签事件、预测期限和未观察结果处理。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Conditioning set / leakage boundary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说明模型条件信息和未来信息边界。</w:t>
            </w:r>
          </w:p>
        </w:tc>
      </w:tr>
      <w:tr>
        <w:trPr>
          <w:cantSplit w:val="true"/>
        </w:trPr>
        <w:tc>
          <w:tcPr>
            <w:tcW w:type="dxa" w:w="260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Triple barrier</w:t>
            </w:r>
          </w:p>
        </w:tc>
        <w:tc>
          <w:tcPr>
            <w:tcW w:type="dxa" w:w="676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用止盈、止损和时间边界定义标签。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Objective / loss / estimator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写清模型优化目标、损失和估计方法。</w:t>
            </w:r>
          </w:p>
        </w:tc>
      </w:tr>
      <w:tr>
        <w:trPr>
          <w:cantSplit w:val="true"/>
        </w:trPr>
        <w:tc>
          <w:tcPr>
            <w:tcW w:type="dxa" w:w="260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Identification</w:t>
            </w:r>
          </w:p>
        </w:tc>
        <w:tc>
          <w:tcPr>
            <w:tcW w:type="dxa" w:w="676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说明参数或因果量能否从数据中识别。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Regularization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控制复杂度与过拟合。</w:t>
            </w:r>
          </w:p>
        </w:tc>
      </w:tr>
      <w:tr>
        <w:trPr>
          <w:cantSplit w:val="true"/>
        </w:trPr>
        <w:tc>
          <w:tcPr>
            <w:tcW w:type="dxa" w:w="260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Calibration / uncertainty</w:t>
            </w:r>
          </w:p>
        </w:tc>
        <w:tc>
          <w:tcPr>
            <w:tcW w:type="dxa" w:w="676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让概率和不确定性与实际频率相匹配。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OOF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用样本外预测训练下游融合，减少泄露。</w:t>
            </w:r>
          </w:p>
        </w:tc>
      </w:tr>
      <w:tr>
        <w:trPr>
          <w:cantSplit w:val="true"/>
        </w:trPr>
        <w:tc>
          <w:tcPr>
            <w:tcW w:type="dxa" w:w="260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Signal threshold / confidence / expiry</w:t>
            </w:r>
          </w:p>
        </w:tc>
        <w:tc>
          <w:tcPr>
            <w:tcW w:type="dxa" w:w="676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把模型输出变成有阈值、置信度和有效期的信号。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Abstain / conflict resolution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不确定时不发信号，并处理多个信号冲突。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A4. 回测与统计验证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  <w:tblInd w:type="dxa" w:w="120"/>
      </w:tblPr>
      <w:tblGrid>
        <w:gridCol w:w="2600"/>
        <w:gridCol w:w="6760"/>
      </w:tblGrid>
      <w:tr>
        <w:trPr>
          <w:tblHeader w:val="true"/>
          <w:cantSplit w:val="true"/>
        </w:trPr>
        <w:tc>
          <w:tcPr>
            <w:tcW w:type="dxa" w:w="260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方法</w:t>
            </w:r>
          </w:p>
        </w:tc>
        <w:tc>
          <w:tcPr>
            <w:tcW w:type="dxa" w:w="67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入门解释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Purge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删除与验证窗口信息重叠的训练样本。</w:t>
            </w:r>
          </w:p>
        </w:tc>
      </w:tr>
      <w:tr>
        <w:trPr>
          <w:cantSplit w:val="true"/>
        </w:trPr>
        <w:tc>
          <w:tcPr>
            <w:tcW w:type="dxa" w:w="260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Embargo</w:t>
            </w:r>
          </w:p>
        </w:tc>
        <w:tc>
          <w:tcPr>
            <w:tcW w:type="dxa" w:w="676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在训练和验证窗口之间留出隔离带。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CPCV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用组合式时间路径检验稳定性。</w:t>
            </w:r>
          </w:p>
        </w:tc>
      </w:tr>
      <w:tr>
        <w:trPr>
          <w:cantSplit w:val="true"/>
        </w:trPr>
        <w:tc>
          <w:tcPr>
            <w:tcW w:type="dxa" w:w="260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Walk-forward</w:t>
            </w:r>
          </w:p>
        </w:tc>
        <w:tc>
          <w:tcPr>
            <w:tcW w:type="dxa" w:w="676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按历史时间滚动训练和前推。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Bootstrap CI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用重抽样估计统计量区间。</w:t>
            </w:r>
          </w:p>
        </w:tc>
      </w:tr>
      <w:tr>
        <w:trPr>
          <w:cantSplit w:val="true"/>
        </w:trPr>
        <w:tc>
          <w:tcPr>
            <w:tcW w:type="dxa" w:w="260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PBO / CSCV</w:t>
            </w:r>
          </w:p>
        </w:tc>
        <w:tc>
          <w:tcPr>
            <w:tcW w:type="dxa" w:w="676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估计策略选择造成的回测过拟合。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DSR-FST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对 Sharpe 的多重尝试和非正态影响做通缩。</w:t>
            </w:r>
          </w:p>
        </w:tc>
      </w:tr>
      <w:tr>
        <w:trPr>
          <w:cantSplit w:val="true"/>
        </w:trPr>
        <w:tc>
          <w:tcPr>
            <w:tcW w:type="dxa" w:w="260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PSR</w:t>
            </w:r>
          </w:p>
        </w:tc>
        <w:tc>
          <w:tcPr>
            <w:tcW w:type="dxa" w:w="676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计算真实 Sharpe 超过门槛的概率。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MinTRL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估计达到证据门槛所需的最短样本。</w:t>
            </w:r>
          </w:p>
        </w:tc>
      </w:tr>
      <w:tr>
        <w:trPr>
          <w:cantSplit w:val="true"/>
        </w:trPr>
        <w:tc>
          <w:tcPr>
            <w:tcW w:type="dxa" w:w="260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Deflated interval</w:t>
            </w:r>
          </w:p>
        </w:tc>
        <w:tc>
          <w:tcPr>
            <w:tcW w:type="dxa" w:w="676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对选择偏差做更保守的区间表达。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honest-N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记录真实尝试次数和搜索过程。</w:t>
            </w:r>
          </w:p>
        </w:tc>
      </w:tr>
      <w:tr>
        <w:trPr>
          <w:cantSplit w:val="true"/>
        </w:trPr>
        <w:tc>
          <w:tcPr>
            <w:tcW w:type="dxa" w:w="260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Multiple testing accounting</w:t>
            </w:r>
          </w:p>
        </w:tc>
        <w:tc>
          <w:tcPr>
            <w:tcW w:type="dxa" w:w="676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控制多假设同时检验的假阳性。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t&gt;3 view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把较高 t 值作为可配置审查视角。</w:t>
            </w:r>
          </w:p>
        </w:tc>
      </w:tr>
      <w:tr>
        <w:trPr>
          <w:cantSplit w:val="true"/>
        </w:trPr>
        <w:tc>
          <w:tcPr>
            <w:tcW w:type="dxa" w:w="260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Chen weak-identification warning</w:t>
            </w:r>
          </w:p>
        </w:tc>
        <w:tc>
          <w:tcPr>
            <w:tcW w:type="dxa" w:w="676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提示识别薄弱、显著性可能误导。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Conformal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在较少分布假设下给出预测集合或区间。</w:t>
            </w:r>
          </w:p>
        </w:tc>
      </w:tr>
      <w:tr>
        <w:trPr>
          <w:cantSplit w:val="true"/>
        </w:trPr>
        <w:tc>
          <w:tcPr>
            <w:tcW w:type="dxa" w:w="260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CQR</w:t>
            </w:r>
          </w:p>
        </w:tc>
        <w:tc>
          <w:tcPr>
            <w:tcW w:type="dxa" w:w="676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把分位数回归与 conformal 校准结合。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ACI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在时间变化中自适应调整覆盖率。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A5. 组合、成本、归因与监控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  <w:tblInd w:type="dxa" w:w="120"/>
      </w:tblPr>
      <w:tblGrid>
        <w:gridCol w:w="2600"/>
        <w:gridCol w:w="6760"/>
      </w:tblGrid>
      <w:tr>
        <w:trPr>
          <w:tblHeader w:val="true"/>
          <w:cantSplit w:val="true"/>
        </w:trPr>
        <w:tc>
          <w:tcPr>
            <w:tcW w:type="dxa" w:w="260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方法</w:t>
            </w:r>
          </w:p>
        </w:tc>
        <w:tc>
          <w:tcPr>
            <w:tcW w:type="dxa" w:w="67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入门解释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Portfolio objective / utility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定义组合要优化的目标。</w:t>
            </w:r>
          </w:p>
        </w:tc>
      </w:tr>
      <w:tr>
        <w:trPr>
          <w:cantSplit w:val="true"/>
        </w:trPr>
        <w:tc>
          <w:tcPr>
            <w:tcW w:type="dxa" w:w="260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Constraint set</w:t>
            </w:r>
          </w:p>
        </w:tc>
        <w:tc>
          <w:tcPr>
            <w:tcW w:type="dxa" w:w="676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记录仓位、敞口、换手、杠杆和集中度限制。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Risk measure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定义波动、回撤或其他风险度量。</w:t>
            </w:r>
          </w:p>
        </w:tc>
      </w:tr>
      <w:tr>
        <w:trPr>
          <w:cantSplit w:val="true"/>
        </w:trPr>
        <w:tc>
          <w:tcPr>
            <w:tcW w:type="dxa" w:w="260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Hedge ratio</w:t>
            </w:r>
          </w:p>
        </w:tc>
        <w:tc>
          <w:tcPr>
            <w:tcW w:type="dxa" w:w="676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计算对冲腿的比例。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Capital accounting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统一保证金、抵押品、基础货币和融资。</w:t>
            </w:r>
          </w:p>
        </w:tc>
      </w:tr>
      <w:tr>
        <w:trPr>
          <w:cantSplit w:val="true"/>
        </w:trPr>
        <w:tc>
          <w:tcPr>
            <w:tcW w:type="dxa" w:w="260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Cost / TCA</w:t>
            </w:r>
          </w:p>
        </w:tc>
        <w:tc>
          <w:tcPr>
            <w:tcW w:type="dxa" w:w="676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把佣金、税、点差、冲击、借券和资金费率拆开。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Slippage / impact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估计成交价偏离和交易冲击。</w:t>
            </w:r>
          </w:p>
        </w:tc>
      </w:tr>
      <w:tr>
        <w:trPr>
          <w:cantSplit w:val="true"/>
        </w:trPr>
        <w:tc>
          <w:tcPr>
            <w:tcW w:type="dxa" w:w="260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Return decomposition</w:t>
            </w:r>
          </w:p>
        </w:tc>
        <w:tc>
          <w:tcPr>
            <w:tcW w:type="dxa" w:w="676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把收益拆成可解释来源。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Factor exposure / Brinson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解释因子暴露、资产配置和选择贡献。</w:t>
            </w:r>
          </w:p>
        </w:tc>
      </w:tr>
      <w:tr>
        <w:trPr>
          <w:cantSplit w:val="true"/>
        </w:trPr>
        <w:tc>
          <w:tcPr>
            <w:tcW w:type="dxa" w:w="260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Benchmark / residual</w:t>
            </w:r>
          </w:p>
        </w:tc>
        <w:tc>
          <w:tcPr>
            <w:tcW w:type="dxa" w:w="676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区分基准贡献和未解释残差。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rolling-PSR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滚动观察 Sharpe 证据是否下降。</w:t>
            </w:r>
          </w:p>
        </w:tc>
      </w:tr>
      <w:tr>
        <w:trPr>
          <w:cantSplit w:val="true"/>
        </w:trPr>
        <w:tc>
          <w:tcPr>
            <w:tcW w:type="dxa" w:w="260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CUSUM</w:t>
            </w:r>
          </w:p>
        </w:tc>
        <w:tc>
          <w:tcPr>
            <w:tcW w:type="dxa" w:w="676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监测均值或过程的小幅持续变化。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Page-Hinkley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监测序列均值发生变化的时点。</w:t>
            </w:r>
          </w:p>
        </w:tc>
      </w:tr>
      <w:tr>
        <w:trPr>
          <w:cantSplit w:val="true"/>
        </w:trPr>
        <w:tc>
          <w:tcPr>
            <w:tcW w:type="dxa" w:w="260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PSI</w:t>
            </w:r>
          </w:p>
        </w:tc>
        <w:tc>
          <w:tcPr>
            <w:tcW w:type="dxa" w:w="676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衡量特征分布漂移。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Hysteresis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用不同触发和恢复阈值减少反复开关。</w:t>
            </w:r>
          </w:p>
        </w:tc>
      </w:tr>
      <w:tr>
        <w:trPr>
          <w:cantSplit w:val="true"/>
        </w:trPr>
        <w:tc>
          <w:tcPr>
            <w:tcW w:type="dxa" w:w="260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Graded kill switch</w:t>
            </w:r>
          </w:p>
        </w:tc>
        <w:tc>
          <w:tcPr>
            <w:tcW w:type="dxa" w:w="676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按严重程度降仓、暂停或停止。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Demotion / retirement rule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把失效资产降级或退役。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  <w:keepNext/>
        <w:keepLines/>
      </w:pPr>
      <w:r>
        <w:t>A6. 理论与实现一致性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  <w:tblInd w:type="dxa" w:w="120"/>
      </w:tblPr>
      <w:tblGrid>
        <w:gridCol w:w="2600"/>
        <w:gridCol w:w="6760"/>
      </w:tblGrid>
      <w:tr>
        <w:trPr>
          <w:tblHeader w:val="true"/>
          <w:cantSplit w:val="true"/>
        </w:trPr>
        <w:tc>
          <w:tcPr>
            <w:tcW w:type="dxa" w:w="260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方法</w:t>
            </w:r>
          </w:p>
        </w:tc>
        <w:tc>
          <w:tcPr>
            <w:tcW w:type="dxa" w:w="67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入门解释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Symbolic check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检查代数和符号关系。</w:t>
            </w:r>
          </w:p>
        </w:tc>
      </w:tr>
      <w:tr>
        <w:trPr>
          <w:cantSplit w:val="true"/>
        </w:trPr>
        <w:tc>
          <w:tcPr>
            <w:tcW w:type="dxa" w:w="260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Dimensional check</w:t>
            </w:r>
          </w:p>
        </w:tc>
        <w:tc>
          <w:tcPr>
            <w:tcW w:type="dxa" w:w="676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检查单位与量纲。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Property check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验证单调性、边界、守恒或其他性质。</w:t>
            </w:r>
          </w:p>
        </w:tc>
      </w:tr>
      <w:tr>
        <w:trPr>
          <w:cantSplit w:val="true"/>
        </w:trPr>
        <w:tc>
          <w:tcPr>
            <w:tcW w:type="dxa" w:w="260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Numerical check</w:t>
            </w:r>
          </w:p>
        </w:tc>
        <w:tc>
          <w:tcPr>
            <w:tcW w:type="dxa" w:w="676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用数值样例检查公式与代码。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Simulation check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用仿真覆盖难以直接观测的情形。</w:t>
            </w:r>
          </w:p>
        </w:tc>
      </w:tr>
      <w:tr>
        <w:trPr>
          <w:cantSplit w:val="true"/>
        </w:trPr>
        <w:tc>
          <w:tcPr>
            <w:tcW w:type="dxa" w:w="260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Replay check</w:t>
            </w:r>
          </w:p>
        </w:tc>
        <w:tc>
          <w:tcPr>
            <w:tcW w:type="dxa" w:w="676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重放同一输入、环境和运行记录。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Review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由 Verifier / Critic 人工或异模型复核。</w:t>
            </w:r>
          </w:p>
        </w:tc>
      </w:tr>
      <w:tr>
        <w:trPr>
          <w:cantSplit w:val="true"/>
        </w:trPr>
        <w:tc>
          <w:tcPr>
            <w:tcW w:type="dxa" w:w="260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Counterexample</w:t>
            </w:r>
          </w:p>
        </w:tc>
        <w:tc>
          <w:tcPr>
            <w:tcW w:type="dxa" w:w="676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主动寻找使方法失败的边界例子。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keepLines/>
      </w:pPr>
      <w:bookmarkStart w:id="118" w:name="appB"/>
      <w:r>
        <w:t>附录 B：生命周期与状态轴</w:t>
      </w:r>
      <w:bookmarkEnd w:id="118"/>
    </w:p>
    <w:p>
      <w:pPr>
        <w:pStyle w:val="Heading2"/>
        <w:keepNext/>
        <w:keepLines/>
      </w:pPr>
      <w:r>
        <w:t>B1. 终态管理的生命周期对象</w:t>
      </w:r>
    </w:p>
    <w:p>
      <w:pPr>
        <w:pStyle w:val="QuantBTBullet"/>
        <w:numPr>
          <w:ilvl w:val="0"/>
          <w:numId w:val="10"/>
        </w:numPr>
        <w:keepLines/>
      </w:pPr>
      <w:r>
        <w:t>Research Lifecycle</w:t>
      </w:r>
    </w:p>
    <w:p>
      <w:pPr>
        <w:pStyle w:val="QuantBTBullet"/>
        <w:numPr>
          <w:ilvl w:val="0"/>
          <w:numId w:val="10"/>
        </w:numPr>
        <w:keepLines/>
      </w:pPr>
      <w:r>
        <w:t>DataSource / Integration / IngestionSkill Lifecycle</w:t>
      </w:r>
    </w:p>
    <w:p>
      <w:pPr>
        <w:pStyle w:val="QuantBTBullet"/>
        <w:numPr>
          <w:ilvl w:val="0"/>
          <w:numId w:val="10"/>
        </w:numPr>
        <w:keepLines/>
      </w:pPr>
      <w:r>
        <w:t>Dataset / Observable Lifecycle</w:t>
      </w:r>
    </w:p>
    <w:p>
      <w:pPr>
        <w:pStyle w:val="QuantBTBullet"/>
        <w:numPr>
          <w:ilvl w:val="0"/>
          <w:numId w:val="10"/>
        </w:numPr>
        <w:keepLines/>
      </w:pPr>
      <w:r>
        <w:t>Mathematical Spine Lifecycle</w:t>
      </w:r>
    </w:p>
    <w:p>
      <w:pPr>
        <w:pStyle w:val="QuantBTBullet"/>
        <w:numPr>
          <w:ilvl w:val="0"/>
          <w:numId w:val="10"/>
        </w:numPr>
        <w:keepLines/>
      </w:pPr>
      <w:r>
        <w:t>TheoryImplementationBinding Lifecycle</w:t>
      </w:r>
    </w:p>
    <w:p>
      <w:pPr>
        <w:pStyle w:val="QuantBTBullet"/>
        <w:numPr>
          <w:ilvl w:val="0"/>
          <w:numId w:val="10"/>
        </w:numPr>
        <w:keepLines/>
      </w:pPr>
      <w:r>
        <w:t>LLM Provider / Auth / ModelRoutingPolicy Lifecycle</w:t>
      </w:r>
    </w:p>
    <w:p>
      <w:pPr>
        <w:pStyle w:val="QuantBTBullet"/>
        <w:numPr>
          <w:ilvl w:val="0"/>
          <w:numId w:val="10"/>
        </w:numPr>
        <w:keepLines/>
      </w:pPr>
      <w:r>
        <w:t>Factor Lifecycle</w:t>
      </w:r>
    </w:p>
    <w:p>
      <w:pPr>
        <w:pStyle w:val="QuantBTBullet"/>
        <w:numPr>
          <w:ilvl w:val="0"/>
          <w:numId w:val="10"/>
        </w:numPr>
        <w:keepLines/>
      </w:pPr>
      <w:r>
        <w:t>Model Lifecycle</w:t>
      </w:r>
    </w:p>
    <w:p>
      <w:pPr>
        <w:pStyle w:val="QuantBTBullet"/>
        <w:numPr>
          <w:ilvl w:val="0"/>
          <w:numId w:val="10"/>
        </w:numPr>
        <w:keepLines/>
      </w:pPr>
      <w:r>
        <w:t>Signal Lifecycle</w:t>
      </w:r>
    </w:p>
    <w:p>
      <w:pPr>
        <w:pStyle w:val="QuantBTBullet"/>
        <w:numPr>
          <w:ilvl w:val="0"/>
          <w:numId w:val="10"/>
        </w:numPr>
        <w:keepLines/>
      </w:pPr>
      <w:r>
        <w:t>StrategyBook Lifecycle</w:t>
      </w:r>
    </w:p>
    <w:p>
      <w:pPr>
        <w:pStyle w:val="QuantBTBullet"/>
        <w:numPr>
          <w:ilvl w:val="0"/>
          <w:numId w:val="10"/>
        </w:numPr>
        <w:keepLines/>
      </w:pPr>
      <w:r>
        <w:t>Portfolio / Risk / Execution Policy Lifecycle</w:t>
      </w:r>
    </w:p>
    <w:p>
      <w:pPr>
        <w:pStyle w:val="QuantBTBullet"/>
        <w:numPr>
          <w:ilvl w:val="0"/>
          <w:numId w:val="10"/>
        </w:numPr>
        <w:keepLines/>
      </w:pPr>
      <w:r>
        <w:t>Experiment / Run Lifecycle</w:t>
      </w:r>
    </w:p>
    <w:p>
      <w:pPr>
        <w:pStyle w:val="Heading2"/>
        <w:keepNext/>
        <w:keepLines/>
      </w:pPr>
      <w:r>
        <w:t>B2. 共享状态轴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  <w:tblInd w:type="dxa" w:w="120"/>
      </w:tblPr>
      <w:tblGrid>
        <w:gridCol w:w="1350"/>
        <w:gridCol w:w="4200"/>
        <w:gridCol w:w="3810"/>
      </w:tblGrid>
      <w:tr>
        <w:trPr>
          <w:tblHeader w:val="true"/>
          <w:cantSplit w:val="true"/>
        </w:trPr>
        <w:tc>
          <w:tcPr>
            <w:tcW w:type="dxa" w:w="135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轴</w:t>
            </w:r>
          </w:p>
        </w:tc>
        <w:tc>
          <w:tcPr>
            <w:tcW w:type="dxa" w:w="420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状态</w:t>
            </w:r>
          </w:p>
        </w:tc>
        <w:tc>
          <w:tcPr>
            <w:tcW w:type="dxa" w:w="381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Definition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draft / specified / implemented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对象定义、合同和实现进度。</w:t>
            </w:r>
          </w:p>
        </w:tc>
      </w:tr>
      <w:tr>
        <w:trPr>
          <w:cantSplit w:val="true"/>
        </w:trPr>
        <w:tc>
          <w:tcPr>
            <w:tcW w:type="dxa" w:w="135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Theory</w:t>
            </w:r>
          </w:p>
        </w:tc>
        <w:tc>
          <w:tcPr>
            <w:tcW w:type="dxa" w:w="420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not_required / required / drafted / derived / challenged / accepted / user_waived</w:t>
            </w:r>
          </w:p>
        </w:tc>
        <w:tc>
          <w:tcPr>
            <w:tcW w:type="dxa" w:w="381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理论要求、推导、挑战和用户豁免。</w:t>
            </w:r>
          </w:p>
        </w:tc>
      </w:tr>
      <w:tr>
        <w:trPr>
          <w:cantSplit w:val="true"/>
        </w:trP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Consistency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not_applicable / unbound / checked / mismatch / accepted / waived_for_exploratory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理论和代码、配置、数据、测试是否一致。</w:t>
            </w:r>
          </w:p>
        </w:tc>
      </w:tr>
      <w:tr>
        <w:trPr>
          <w:cantSplit w:val="true"/>
        </w:trPr>
        <w:tc>
          <w:tcPr>
            <w:tcW w:type="dxa" w:w="135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Evidence</w:t>
            </w:r>
          </w:p>
        </w:tc>
        <w:tc>
          <w:tcPr>
            <w:tcW w:type="dxa" w:w="420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untested / exploratory / challenged / sufficient / insufficient / unverified_residual</w:t>
            </w:r>
          </w:p>
        </w:tc>
        <w:tc>
          <w:tcPr>
            <w:tcW w:type="dxa" w:w="381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证据成熟度与未验证残余。</w:t>
            </w:r>
          </w:p>
        </w:tc>
      </w:tr>
      <w:tr>
        <w:trPr>
          <w:cantSplit w:val="true"/>
        </w:trP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Governance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unreviewed / approved / rejected / revoked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审批与撤销状态。</w:t>
            </w:r>
          </w:p>
        </w:tc>
      </w:tr>
      <w:tr>
        <w:trPr>
          <w:cantSplit w:val="true"/>
        </w:trPr>
        <w:tc>
          <w:tcPr>
            <w:tcW w:type="dxa" w:w="135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Runtime</w:t>
            </w:r>
          </w:p>
        </w:tc>
        <w:tc>
          <w:tcPr>
            <w:tcW w:type="dxa" w:w="420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offline / paper / testnet / live / suspended / retired</w:t>
            </w:r>
          </w:p>
        </w:tc>
        <w:tc>
          <w:tcPr>
            <w:tcW w:type="dxa" w:w="381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运行环境与停用状态。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B3. 资产共同字段</w:t>
      </w:r>
    </w:p>
    <w:p>
      <w:pPr>
        <w:keepLines/>
      </w:pPr>
      <w:r>
        <w:t>identity、version、category、tags、owner、definition、intended_use、economic_rationale、applicable_assets、assumptions、known_limits、dependencies、evidence_refs、validation_plan、verdict、lifecycle_state、uses、used_by、promotion_history、retire_reason。</w:t>
      </w:r>
    </w:p>
    <w:p>
      <w:pPr>
        <w:pStyle w:val="Heading2"/>
        <w:keepNext/>
        <w:keepLines/>
      </w:pPr>
      <w:r>
        <w:t>B4. 资产类型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  <w:tblInd w:type="dxa" w:w="120"/>
      </w:tblPr>
      <w:tblGrid>
        <w:gridCol w:w="2100"/>
        <w:gridCol w:w="7260"/>
      </w:tblGrid>
      <w:tr>
        <w:trPr>
          <w:tblHeader w:val="true"/>
          <w:cantSplit w:val="true"/>
        </w:trPr>
        <w:tc>
          <w:tcPr>
            <w:tcW w:type="dxa" w:w="210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类型</w:t>
            </w:r>
          </w:p>
        </w:tc>
        <w:tc>
          <w:tcPr>
            <w:tcW w:type="dxa" w:w="72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example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用于展示某个结果或结构，不默认可生产使用。</w:t>
            </w:r>
          </w:p>
        </w:tc>
      </w:tr>
      <w:tr>
        <w:trPr>
          <w:cantSplit w:val="true"/>
        </w:trPr>
        <w:tc>
          <w:tcPr>
            <w:tcW w:type="dxa" w:w="210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template</w:t>
            </w:r>
          </w:p>
        </w:tc>
        <w:tc>
          <w:tcPr>
            <w:tcW w:type="dxa" w:w="726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可复制的结构，需要用户补全并重新验证。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demo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演示流程，必须保留 mock 或示例标识。</w:t>
            </w:r>
          </w:p>
        </w:tc>
      </w:tr>
      <w:tr>
        <w:trPr>
          <w:cantSplit w:val="true"/>
        </w:trPr>
        <w:tc>
          <w:tcPr>
            <w:tcW w:type="dxa" w:w="210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tutorial</w:t>
            </w:r>
          </w:p>
        </w:tc>
        <w:tc>
          <w:tcPr>
            <w:tcW w:type="dxa" w:w="726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教学材料，重点是理解方法和步骤。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user_asset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用户创建或导入的资产，按实际证据和权限展示。</w:t>
            </w:r>
          </w:p>
        </w:tc>
      </w:tr>
      <w:tr>
        <w:trPr>
          <w:cantSplit w:val="true"/>
        </w:trPr>
        <w:tc>
          <w:tcPr>
            <w:tcW w:type="dxa" w:w="210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production_asset</w:t>
            </w:r>
          </w:p>
        </w:tc>
        <w:tc>
          <w:tcPr>
            <w:tcW w:type="dxa" w:w="726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经过晋级、审批、证据和运行门禁的生产资产。</w:t>
            </w:r>
          </w:p>
        </w:tc>
      </w:tr>
    </w:tbl>
    <w:p>
      <w:pPr>
        <w:spacing w:after="40"/>
      </w:pPr>
    </w:p>
    <w:p>
      <w:pPr>
        <w:pStyle w:val="QuantBTSource"/>
      </w:pPr>
      <w:r>
        <w:rPr>
          <w:rFonts w:ascii="Arial Unicode MS" w:hAnsi="Arial Unicode MS" w:eastAsia="Arial Unicode MS"/>
          <w:color w:val="5F6368"/>
          <w:sz w:val="17"/>
        </w:rPr>
        <w:t>终态依据：dev/GOAL.md §1、§3。</w:t>
      </w:r>
    </w:p>
    <w:p>
      <w:r>
        <w:br w:type="page"/>
      </w:r>
    </w:p>
    <w:p>
      <w:pPr>
        <w:pStyle w:val="Heading1"/>
        <w:keepNext/>
        <w:keepLines/>
      </w:pPr>
      <w:bookmarkStart w:id="119" w:name="appC"/>
      <w:r>
        <w:t>附录 C：术语、依据与核验边界</w:t>
      </w:r>
      <w:bookmarkEnd w:id="119"/>
    </w:p>
    <w:p>
      <w:pPr>
        <w:pStyle w:val="Heading2"/>
        <w:keepNext/>
        <w:keepLines/>
      </w:pPr>
      <w:r>
        <w:t>C1. 术语速查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  <w:tblInd w:type="dxa" w:w="120"/>
      </w:tblPr>
      <w:tblGrid>
        <w:gridCol w:w="2500"/>
        <w:gridCol w:w="6860"/>
      </w:tblGrid>
      <w:tr>
        <w:trPr>
          <w:tblHeader w:val="true"/>
          <w:cantSplit w:val="true"/>
        </w:trPr>
        <w:tc>
          <w:tcPr>
            <w:tcW w:type="dxa" w:w="250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术语</w:t>
            </w:r>
          </w:p>
        </w:tc>
        <w:tc>
          <w:tcPr>
            <w:tcW w:type="dxa" w:w="68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本报告中的含义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QRO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统一量化研究对象，承载身份、版本、输入输出、市场、时间、证据、权限和运行状态。</w:t>
            </w:r>
          </w:p>
        </w:tc>
      </w:tr>
      <w:tr>
        <w:trPr>
          <w:cantSplit w:val="true"/>
        </w:trPr>
        <w:tc>
          <w:tcPr>
            <w:tcW w:type="dxa" w:w="250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Research Graph</w:t>
            </w:r>
          </w:p>
        </w:tc>
        <w:tc>
          <w:tcPr>
            <w:tcW w:type="dxa" w:w="686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研究资产、依赖、证据、运行和治理关系的统一事实图。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Typed Canvas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按工作台展示和编辑 Research Graph 的类型化画布。</w:t>
            </w:r>
          </w:p>
        </w:tc>
      </w:tr>
      <w:tr>
        <w:trPr>
          <w:cantSplit w:val="true"/>
        </w:trPr>
        <w:tc>
          <w:tcPr>
            <w:tcW w:type="dxa" w:w="250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Governed Compiler</w:t>
            </w:r>
          </w:p>
        </w:tc>
        <w:tc>
          <w:tcPr>
            <w:tcW w:type="dxa" w:w="686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把命令和研究对象编译成受权限、证据和不变量约束的确定性运行。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Research Asset RAG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在权限范围内检索资产定义、历史版本、失败案例、证据、数据、数学和运行记录。</w:t>
            </w:r>
          </w:p>
        </w:tc>
      </w:tr>
      <w:tr>
        <w:trPr>
          <w:cantSplit w:val="true"/>
        </w:trPr>
        <w:tc>
          <w:tcPr>
            <w:tcW w:type="dxa" w:w="250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EvidenceSpan</w:t>
            </w:r>
          </w:p>
        </w:tc>
        <w:tc>
          <w:tcPr>
            <w:tcW w:type="dxa" w:w="686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文献证据在源文件中的可定位片段及版本、哈希与支持性记录。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Mathematical Spine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贯穿数据、因子、模型、信号、组合、执行、回测、归因和监控的数学对象与绑定。</w:t>
            </w:r>
          </w:p>
        </w:tc>
      </w:tr>
      <w:tr>
        <w:trPr>
          <w:cantSplit w:val="true"/>
        </w:trPr>
        <w:tc>
          <w:tcPr>
            <w:tcW w:type="dxa" w:w="250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TheoryImplementationBinding</w:t>
            </w:r>
          </w:p>
        </w:tc>
        <w:tc>
          <w:tcPr>
            <w:tcW w:type="dxa" w:w="686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理论、公式与代码、配置、数据合同、测试、仿真和运行的绑定记录。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ConsistencyCheck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检查理论和实现是否一致的符号、维度、性质、数值、仿真、重放或复核记录。</w:t>
            </w:r>
          </w:p>
        </w:tc>
      </w:tr>
      <w:tr>
        <w:trPr>
          <w:cantSplit w:val="true"/>
        </w:trPr>
        <w:tc>
          <w:tcPr>
            <w:tcW w:type="dxa" w:w="250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StrategyBook</w:t>
            </w:r>
          </w:p>
        </w:tc>
        <w:tc>
          <w:tcPr>
            <w:tcW w:type="dxa" w:w="686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包含多腿、universe、约束、成本、payoff、资本账和执行意图的策略资产。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MarketCapabilityMatrix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按资产类别记录 research、backtest、paper、testnet、live、short、leverage、margin 等可达性。</w:t>
            </w:r>
          </w:p>
        </w:tc>
      </w:tr>
      <w:tr>
        <w:trPr>
          <w:cantSplit w:val="true"/>
        </w:trPr>
        <w:tc>
          <w:tcPr>
            <w:tcW w:type="dxa" w:w="250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ValidationDossier</w:t>
            </w:r>
          </w:p>
        </w:tc>
        <w:tc>
          <w:tcPr>
            <w:tcW w:type="dxa" w:w="686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模型或策略的验证证据、反证、限制和裁决档案。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RDP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Research Delivery Package，开放格式的正式研究交付包。</w:t>
            </w:r>
          </w:p>
        </w:tc>
      </w:tr>
      <w:tr>
        <w:trPr>
          <w:cantSplit w:val="true"/>
        </w:trPr>
        <w:tc>
          <w:tcPr>
            <w:tcW w:type="dxa" w:w="250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honest-N</w:t>
            </w:r>
          </w:p>
        </w:tc>
        <w:tc>
          <w:tcPr>
            <w:tcW w:type="dxa" w:w="6860"/>
            <w:shd w:fill="FBFCF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真实记录尝试、筛选和选择次数的账本。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functional independence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在单人环境中用隔离上下文、不可变证据、二次确认或异模型挑战实现功能独立。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C2. 编制依据</w:t>
      </w:r>
    </w:p>
    <w:p>
      <w:pPr>
        <w:keepLines/>
      </w:pPr>
      <w:r>
        <w:t>本报告的终态能力以 /Users/wzy/Work/01_Projects/QuantBT/dev/GOAL.md 为直接依据。该文件共 18 个主节，依次定义北极星、统一对象、多台系统、生命周期、数据与设置、RAG、文档与数学研究、Agent OS、治理、因子到策略边界、方法学、市场数据、执行、信任、M1–M21、模型治理、工程标准和交付标准。</w:t>
      </w:r>
    </w:p>
    <w:p>
      <w:pPr>
        <w:pStyle w:val="Heading2"/>
        <w:keepNext/>
        <w:keepLines/>
      </w:pPr>
      <w:r>
        <w:t>C3. 核验边界</w:t>
      </w:r>
    </w:p>
    <w:p>
      <w:pPr>
        <w:spacing w:before="120" w:after="200" w:line="269" w:lineRule="auto"/>
        <w:ind w:left="144" w:right="144"/>
        <w:shd w:fill="FFF8E8"/>
        <w:pBdr>
          <w:left w:val="single" w:sz="18" w:space="8" w:color="7A5A00"/>
        </w:pBdr>
        <w:keepLines/>
      </w:pPr>
      <w:r>
        <w:rPr>
          <w:rFonts w:ascii="Arial Unicode MS" w:hAnsi="Arial Unicode MS" w:eastAsia="Arial Unicode MS"/>
          <w:b/>
          <w:color w:val="7A5A00"/>
          <w:sz w:val="21"/>
        </w:rPr>
        <w:t>Unqueried:</w:t>
      </w:r>
      <w:r>
        <w:rPr>
          <w:rFonts w:ascii="Arial Unicode MS" w:hAnsi="Arial Unicode MS" w:eastAsia="Arial Unicode MS"/>
          <w:color w:val="222222"/>
          <w:sz w:val="21"/>
        </w:rPr>
        <w:t>本报告没有查询远程分支或 PR、CI、生产部署、真实数据供应商、券商或交易所账户，也没有完成 C 端用户验收。</w:t>
      </w:r>
    </w:p>
    <w:p>
      <w:pPr>
        <w:spacing w:before="120" w:after="200" w:line="269" w:lineRule="auto"/>
        <w:ind w:left="144" w:right="144"/>
        <w:shd w:fill="FFF8E8"/>
        <w:pBdr>
          <w:left w:val="single" w:sz="18" w:space="8" w:color="7A5A00"/>
        </w:pBdr>
        <w:keepLines/>
      </w:pPr>
      <w:r>
        <w:rPr>
          <w:rFonts w:ascii="Arial Unicode MS" w:hAnsi="Arial Unicode MS" w:eastAsia="Arial Unicode MS"/>
          <w:b/>
          <w:color w:val="7A5A00"/>
          <w:sz w:val="21"/>
        </w:rPr>
        <w:t>Unverified:</w:t>
      </w:r>
      <w:r>
        <w:rPr>
          <w:rFonts w:ascii="Arial Unicode MS" w:hAnsi="Arial Unicode MS" w:eastAsia="Arial Unicode MS"/>
          <w:color w:val="222222"/>
          <w:sz w:val="21"/>
        </w:rPr>
        <w:t>GOAL 中列出的终态能力不能仅凭目标文档视为当前版本已经实现、测试通过、生产 active 或 user accepted。对外销售时应把本报告与当期能力清单、演示环境和验收证据配套使用。</w:t>
      </w:r>
    </w:p>
    <w:p>
      <w:pPr>
        <w:keepLines/>
      </w:pPr>
      <w:r>
        <w:t>报告的用途是把最终产品讲清楚：个人用户可以买到哪些机构能力，能使用哪些研究方法，一项资产如何被创建、验证、运行、监控和退役。当前版本进度属于另一份交付审计，不在这里用愿景代替证据。</w:t>
      </w:r>
    </w:p>
    <w:sectPr w:rsidR="00FC693F" w:rsidRPr="0006063C" w:rsidSect="00034616">
      <w:headerReference w:type="first" r:id="rId9"/>
      <w:footerReference w:type="first" r:id="rId10"/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spacing w:before="0" w:after="0"/>
    </w:pPr>
    <w:r>
      <w:rPr>
        <w:rFonts w:ascii="Arial Unicode MS" w:hAnsi="Arial Unicode MS" w:eastAsia="Arial Unicode MS"/>
        <w:color w:val="5F6368"/>
        <w:sz w:val="16"/>
      </w:rPr>
      <w:t>GOAL 完整终态 · 面向个人专业用户</w:t>
    </w:r>
    <w:r>
      <w:rPr>
        <w:rFonts w:ascii="Arial Unicode MS" w:hAnsi="Arial Unicode MS" w:eastAsia="Arial Unicode MS"/>
        <w:color w:val="5F6368"/>
        <w:sz w:val="16"/>
      </w:rPr>
      <w:tab/>
      <w:t xml:space="preserve">第 </w:t>
    </w:r>
    <w:r>
      <w:rPr>
        <w:rFonts w:ascii="Arial Unicode MS" w:hAnsi="Arial Unicode MS" w:eastAsia="Arial Unicode MS"/>
        <w:color w:val="5F6368"/>
        <w:sz w:val="16"/>
      </w:rPr>
      <w:fldChar w:fldCharType="begin"/>
      <w:instrText xml:space="preserve">PAGE</w:instrText>
      <w:fldChar w:fldCharType="separate"/>
      <w:fldChar w:fldCharType="end"/>
    </w:r>
    <w:r>
      <w:rPr>
        <w:rFonts w:ascii="Arial Unicode MS" w:hAnsi="Arial Unicode MS" w:eastAsia="Arial Unicode MS"/>
        <w:color w:val="5F6368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</w:pPr>
    <w:r>
      <w:rPr>
        <w:rFonts w:ascii="Arial Unicode MS" w:hAnsi="Arial Unicode MS" w:eastAsia="Arial Unicode MS"/>
        <w:color w:val="5F6368"/>
        <w:sz w:val="16"/>
      </w:rPr>
      <w:t>QuantBT  |  GOAL 终态能力报告</w:t>
    </w:r>
    <w:r>
      <w:rPr>
        <w:rFonts w:ascii="Arial Unicode MS" w:hAnsi="Arial Unicode MS" w:eastAsia="Arial Unicode MS"/>
        <w:color w:val="5F6368"/>
        <w:sz w:val="16"/>
      </w:rPr>
      <w:tab/>
      <w:t>机构级量化研究平台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80"/>
        <w:spacing w:after="80" w:line="29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80" w:line="29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60" w:line="320" w:lineRule="auto"/>
      <w:jc w:val="both"/>
    </w:pPr>
    <w:rPr>
      <w:rFonts w:ascii="Arial Unicode MS" w:hAnsi="Arial Unicode MS" w:eastAsia="Arial Unicode MS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200" w:line="240" w:lineRule="auto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antBTTitle">
    <w:name w:val="QuantBT Title"/>
    <w:pPr>
      <w:keepNext/>
      <w:spacing w:before="0" w:after="200" w:line="240" w:lineRule="auto"/>
    </w:pPr>
    <w:rPr>
      <w:rFonts w:ascii="Arial Unicode MS" w:hAnsi="Arial Unicode MS" w:eastAsia="Arial Unicode MS"/>
      <w:b/>
      <w:color w:val="17365D"/>
      <w:sz w:val="60"/>
    </w:rPr>
  </w:style>
  <w:style w:type="paragraph" w:customStyle="1" w:styleId="QuantBTSubtitle">
    <w:name w:val="QuantBT Subtitle"/>
    <w:pPr>
      <w:keepNext/>
      <w:spacing w:before="0" w:after="480" w:line="276" w:lineRule="auto"/>
    </w:pPr>
    <w:rPr>
      <w:rFonts w:ascii="Arial Unicode MS" w:hAnsi="Arial Unicode MS" w:eastAsia="Arial Unicode MS"/>
      <w:color w:val="1F4D78"/>
      <w:sz w:val="30"/>
    </w:rPr>
  </w:style>
  <w:style w:type="paragraph" w:customStyle="1" w:styleId="QuantBTKicker">
    <w:name w:val="QuantBT Kicker"/>
    <w:pPr>
      <w:keepNext/>
      <w:spacing w:before="0" w:after="140"/>
    </w:pPr>
    <w:rPr>
      <w:rFonts w:ascii="Arial Unicode MS" w:hAnsi="Arial Unicode MS" w:eastAsia="Arial Unicode MS"/>
      <w:b/>
      <w:color w:val="2E74B5"/>
      <w:sz w:val="19"/>
    </w:rPr>
  </w:style>
  <w:style w:type="paragraph" w:customStyle="1" w:styleId="QuantBTSource">
    <w:name w:val="QuantBT Source"/>
    <w:pPr>
      <w:spacing w:before="60" w:after="160" w:line="252" w:lineRule="auto"/>
    </w:pPr>
    <w:rPr>
      <w:rFonts w:ascii="Arial Unicode MS" w:hAnsi="Arial Unicode MS" w:eastAsia="Arial Unicode MS"/>
      <w:color w:val="5F6368"/>
      <w:sz w:val="17"/>
    </w:rPr>
  </w:style>
  <w:style w:type="paragraph" w:customStyle="1" w:styleId="QuantBTSmall">
    <w:name w:val="QuantBT Small"/>
    <w:pPr>
      <w:spacing w:before="0" w:after="80" w:line="259" w:lineRule="auto"/>
    </w:pPr>
    <w:rPr>
      <w:rFonts w:ascii="Arial Unicode MS" w:hAnsi="Arial Unicode MS" w:eastAsia="Arial Unicode MS"/>
      <w:color w:val="222222"/>
      <w:sz w:val="19"/>
    </w:rPr>
  </w:style>
  <w:style w:type="paragraph" w:customStyle="1" w:styleId="QuantBTBullet">
    <w:name w:val="QuantBT Bullet"/>
    <w:pPr>
      <w:spacing w:after="80" w:line="290" w:lineRule="auto"/>
      <w:ind w:left="540" w:hanging="279"/>
    </w:pPr>
    <w:rPr>
      <w:rFonts w:ascii="Arial Unicode MS" w:hAnsi="Arial Unicode MS" w:eastAsia="Arial Unicode MS"/>
      <w:color w:val="222222"/>
      <w:sz w:val="21"/>
    </w:rPr>
  </w:style>
  <w:style w:type="paragraph" w:customStyle="1" w:styleId="QuantBTNumber">
    <w:name w:val="QuantBT Number"/>
    <w:pPr>
      <w:spacing w:after="80" w:line="290" w:lineRule="auto"/>
      <w:ind w:left="540" w:hanging="279"/>
    </w:pPr>
    <w:rPr>
      <w:rFonts w:ascii="Arial Unicode MS" w:hAnsi="Arial Unicode MS" w:eastAsia="Arial Unicode MS"/>
      <w:color w:val="222222"/>
      <w:sz w:val="21"/>
    </w:rPr>
  </w:style>
  <w:style w:type="paragraph" w:customStyle="1" w:styleId="QuantBTTOCHeading">
    <w:name w:val="QuantBT TOC Heading"/>
    <w:pPr>
      <w:keepNext/>
      <w:spacing w:before="0" w:after="280"/>
    </w:pPr>
    <w:rPr>
      <w:rFonts w:ascii="Arial Unicode MS" w:hAnsi="Arial Unicode MS" w:eastAsia="Arial Unicode MS"/>
      <w:b/>
      <w:color w:val="17365D"/>
      <w:sz w:val="44"/>
    </w:rPr>
  </w:style>
  <w:style w:type="paragraph" w:customStyle="1" w:styleId="QuantBTTOCEntry">
    <w:name w:val="QuantBT TOC Entry"/>
    <w:pPr>
      <w:spacing w:before="0" w:after="60" w:line="240" w:lineRule="auto"/>
    </w:pPr>
    <w:rPr>
      <w:rFonts w:ascii="Arial Unicode MS" w:hAnsi="Arial Unicode MS" w:eastAsia="Arial Unicode MS"/>
      <w:color w:val="222222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QuantBT GOAL 终态：机构级量化研究平台报告</dc:title>
  <dc:subject>面向个人专业用户的机构能力、研究方法与生命周期说明</dc:subject>
  <dc:creator/>
  <cp:keywords>QuantBT, GOAL, 量化研究, Agent, 方法学, 生命周期, Research Delivery Package</cp:keywords>
  <dc:description/>
  <cp:lastModifiedBy/>
  <cp:revision>1</cp:revision>
  <dcterms:created xsi:type="dcterms:W3CDTF">2026-07-13T16:00:00Z</dcterms:created>
  <dcterms:modified xsi:type="dcterms:W3CDTF">2026-07-13T16:00:00Z</dcterms:modified>
  <cp:category/>
</cp:coreProperties>
</file>