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D78"/>
          <w:sz w:val="44"/>
        </w:rPr>
        <w:t>How The 50 Actual Account Records Were Processed</w:t>
      </w:r>
    </w:p>
    <w:p>
      <w:pPr>
        <w:jc w:val="center"/>
      </w:pPr>
      <w:r>
        <w:rPr>
          <w:color w:val="5A5A5A"/>
          <w:sz w:val="22"/>
        </w:rPr>
        <w:t>Input records, buckets, scoring, consolidation, and final duplicate groups</w:t>
      </w:r>
    </w:p>
    <w:tbl>
      <w:tblPr>
        <w:tblStyle w:val="TableGrid"/>
        <w:tblW w:type="dxa" w:w="9000"/>
        <w:jc w:val="center"/>
        <w:tblLayout w:type="fixed"/>
        <w:tblLook w:firstColumn="1" w:firstRow="1" w:lastColumn="0" w:lastRow="0" w:noHBand="0" w:noVBand="1" w:val="04A0"/>
      </w:tblPr>
      <w:tblGrid>
        <w:gridCol w:w="10080"/>
      </w:tblGrid>
      <w:tr>
        <w:trPr>
          <w:tblHeader w:val="true"/>
        </w:trPr>
        <w:tc>
          <w:tcPr>
            <w:tcW w:type="dxa" w:w="900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E8EEF5"/>
          </w:tcPr>
          <w:p>
            <w:pPr>
              <w:spacing w:after="0" w:line="252" w:lineRule="auto"/>
            </w:pPr>
            <w:r>
              <w:rPr>
                <w:rFonts w:ascii="Calibri" w:hAnsi="Calibri"/>
                <w:b/>
                <w:color w:val="1F4D78"/>
                <w:sz w:val="19"/>
              </w:rPr>
            </w:r>
            <w:r>
              <w:rPr>
                <w:rFonts w:ascii="Calibri" w:hAnsi="Calibri"/>
                <w:b/>
                <w:color w:val="1F4D78"/>
                <w:sz w:val="19"/>
              </w:rPr>
              <w:t>Purpose of this document</w:t>
            </w:r>
          </w:p>
          <w:p>
            <w:pPr>
              <w:spacing w:after="0" w:line="252" w:lineRule="auto"/>
            </w:pPr>
            <w:r>
              <w:rPr>
                <w:rFonts w:ascii="Calibri" w:hAnsi="Calibri"/>
                <w:b/>
                <w:color w:val="1F4D78"/>
                <w:sz w:val="19"/>
              </w:rPr>
              <w:t>This document explains how the actual Salesforce Account records were processed. It intentionally does not include deployment details. The focus is the data, the matching steps, and the final output.</w:t>
            </w:r>
          </w:p>
        </w:tc>
      </w:tr>
    </w:tbl>
    <w:tbl>
      <w:tblPr>
        <w:tblStyle w:val="TableGrid"/>
        <w:tblW w:type="dxa" w:w="8784"/>
        <w:jc w:val="center"/>
        <w:tblLayout w:type="fixed"/>
        <w:tblLook w:firstColumn="1" w:firstRow="1" w:lastColumn="0" w:lastRow="0" w:noHBand="0" w:noVBand="1" w:val="04A0"/>
      </w:tblPr>
      <w:tblGrid>
        <w:gridCol w:w="5040"/>
        <w:gridCol w:w="5040"/>
      </w:tblGrid>
      <w:tr>
        <w:trPr>
          <w:tblHeader w:val="true"/>
        </w:trPr>
        <w:tc>
          <w:tcPr>
            <w:tcW w:type="dxa" w:w="288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9"/>
              </w:rPr>
              <w:t>Item</w:t>
            </w:r>
          </w:p>
        </w:tc>
        <w:tc>
          <w:tcPr>
            <w:tcW w:type="dxa" w:w="59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9"/>
              </w:rPr>
              <w:t>Value</w:t>
            </w:r>
          </w:p>
        </w:tc>
      </w:tr>
      <w:tr>
        <w:tc>
          <w:tcPr>
            <w:tcW w:type="dxa" w:w="288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9"/>
              </w:rPr>
              <w:t>Org</w:t>
            </w:r>
          </w:p>
        </w:tc>
        <w:tc>
          <w:tcPr>
            <w:tcW w:type="dxa" w:w="59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9"/>
              </w:rPr>
              <w:t>Agentforce@dreaminforce.com</w:t>
            </w:r>
          </w:p>
        </w:tc>
      </w:tr>
      <w:tr>
        <w:tc>
          <w:tcPr>
            <w:tcW w:type="dxa" w:w="288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9"/>
              </w:rPr>
              <w:t>Object</w:t>
            </w:r>
          </w:p>
        </w:tc>
        <w:tc>
          <w:tcPr>
            <w:tcW w:type="dxa" w:w="59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9"/>
              </w:rPr>
              <w:t>Account</w:t>
            </w:r>
          </w:p>
        </w:tc>
      </w:tr>
      <w:tr>
        <w:tc>
          <w:tcPr>
            <w:tcW w:type="dxa" w:w="288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9"/>
              </w:rPr>
              <w:t>Actual records inserted</w:t>
            </w:r>
          </w:p>
        </w:tc>
        <w:tc>
          <w:tcPr>
            <w:tcW w:type="dxa" w:w="59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9"/>
              </w:rPr>
              <w:t>50</w:t>
            </w:r>
          </w:p>
        </w:tc>
      </w:tr>
      <w:tr>
        <w:tc>
          <w:tcPr>
            <w:tcW w:type="dxa" w:w="288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9"/>
              </w:rPr>
              <w:t>Expected duplicates</w:t>
            </w:r>
          </w:p>
        </w:tc>
        <w:tc>
          <w:tcPr>
            <w:tcW w:type="dxa" w:w="59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9"/>
              </w:rPr>
              <w:t>25 records in 5 groups</w:t>
            </w:r>
          </w:p>
        </w:tc>
      </w:tr>
      <w:tr>
        <w:tc>
          <w:tcPr>
            <w:tcW w:type="dxa" w:w="288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9"/>
              </w:rPr>
              <w:t>Expected non-duplicates</w:t>
            </w:r>
          </w:p>
        </w:tc>
        <w:tc>
          <w:tcPr>
            <w:tcW w:type="dxa" w:w="59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9"/>
              </w:rPr>
              <w:t>25 unique records</w:t>
            </w:r>
          </w:p>
        </w:tc>
      </w:tr>
      <w:tr>
        <w:tc>
          <w:tcPr>
            <w:tcW w:type="dxa" w:w="288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9"/>
              </w:rPr>
              <w:t>Final test result</w:t>
            </w:r>
          </w:p>
        </w:tc>
        <w:tc>
          <w:tcPr>
            <w:tcW w:type="dxa" w:w="59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9"/>
              </w:rPr>
              <w:t>25 duplicate records flagged; 0 unique records flagged</w:t>
            </w:r>
          </w:p>
        </w:tc>
      </w:tr>
    </w:tbl>
    <w:p>
      <w:pPr>
        <w:pStyle w:val="Heading1"/>
      </w:pPr>
      <w:r>
        <w:t>1. What Records Were In The Test?</w:t>
      </w:r>
    </w:p>
    <w:p>
      <w:r>
        <w:t>The test data had two kinds of records: five intentional duplicate groups and twenty-five unique records. The duplicate records were not identical copies; they used realistic variations such as spacing differences, legal suffixes, plural words, inserted words, and different phone numbers.</w:t>
      </w:r>
    </w:p>
    <w:tbl>
      <w:tblPr>
        <w:tblStyle w:val="TableGrid"/>
        <w:tblW w:type="dxa" w:w="8856"/>
        <w:jc w:val="center"/>
        <w:tblLayout w:type="fixed"/>
        <w:tblLook w:firstColumn="1" w:firstRow="1" w:lastColumn="0" w:lastRow="0" w:noHBand="0" w:noVBand="1" w:val="04A0"/>
      </w:tblPr>
      <w:tblGrid>
        <w:gridCol w:w="3360"/>
        <w:gridCol w:w="3360"/>
        <w:gridCol w:w="3360"/>
      </w:tblGrid>
      <w:tr>
        <w:trPr>
          <w:tblHeader w:val="true"/>
        </w:trP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8"/>
              </w:rPr>
              <w:t>Input Type</w:t>
            </w:r>
          </w:p>
        </w:tc>
        <w:tc>
          <w:tcPr>
            <w:tcW w:type="dxa" w:w="115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8"/>
              </w:rPr>
              <w:t>Count</w:t>
            </w:r>
          </w:p>
        </w:tc>
        <w:tc>
          <w:tcPr>
            <w:tcW w:type="dxa" w:w="511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8"/>
              </w:rPr>
              <w:t>Example</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8"/>
              </w:rPr>
              <w:t>Intentional duplicates</w:t>
            </w:r>
          </w:p>
        </w:tc>
        <w:tc>
          <w:tcPr>
            <w:tcW w:type="dxa" w:w="115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8"/>
              </w:rPr>
              <w:t>25</w:t>
            </w:r>
          </w:p>
        </w:tc>
        <w:tc>
          <w:tcPr>
            <w:tcW w:type="dxa" w:w="511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8"/>
              </w:rPr>
              <w:t>Blue Sky Consulting, Blue Sky Ltd., BlueSky Consulting</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8"/>
              </w:rPr>
              <w:t>Intentional unique records</w:t>
            </w:r>
          </w:p>
        </w:tc>
        <w:tc>
          <w:tcPr>
            <w:tcW w:type="dxa" w:w="115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8"/>
              </w:rPr>
              <w:t>25</w:t>
            </w:r>
          </w:p>
        </w:tc>
        <w:tc>
          <w:tcPr>
            <w:tcW w:type="dxa" w:w="511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8"/>
              </w:rPr>
              <w:t>Codex Unique Company 1, Codex Unique Company 2, etc.</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8"/>
              </w:rPr>
              <w:t>Total actual Account records</w:t>
            </w:r>
          </w:p>
        </w:tc>
        <w:tc>
          <w:tcPr>
            <w:tcW w:type="dxa" w:w="115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8"/>
              </w:rPr>
              <w:t>50</w:t>
            </w:r>
          </w:p>
        </w:tc>
        <w:tc>
          <w:tcPr>
            <w:tcW w:type="dxa" w:w="511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8"/>
              </w:rPr>
              <w:t>All records were inserted into Salesforce as real Account records</w:t>
            </w:r>
          </w:p>
        </w:tc>
      </w:tr>
    </w:tbl>
    <w:tbl>
      <w:tblPr>
        <w:tblStyle w:val="TableGrid"/>
        <w:tblW w:type="dxa" w:w="9000"/>
        <w:jc w:val="center"/>
        <w:tblLayout w:type="fixed"/>
        <w:tblLook w:firstColumn="1" w:firstRow="1" w:lastColumn="0" w:lastRow="0" w:noHBand="0" w:noVBand="1" w:val="04A0"/>
      </w:tblPr>
      <w:tblGrid>
        <w:gridCol w:w="5040"/>
        <w:gridCol w:w="5040"/>
      </w:tblGrid>
      <w:tr>
        <w:trPr>
          <w:tblHeader w:val="true"/>
        </w:trPr>
        <w:tc>
          <w:tcPr>
            <w:tcW w:type="dxa" w:w="230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7"/>
              </w:rPr>
              <w:t>Duplicate Group</w:t>
            </w:r>
          </w:p>
        </w:tc>
        <w:tc>
          <w:tcPr>
            <w:tcW w:type="dxa" w:w="66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7"/>
              </w:rPr>
              <w:t>Actual Names Used</w:t>
            </w:r>
          </w:p>
        </w:tc>
      </w:tr>
      <w:tr>
        <w:tc>
          <w:tcPr>
            <w:tcW w:type="dxa" w:w="230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Group 1: Blue Sky</w:t>
            </w:r>
          </w:p>
        </w:tc>
        <w:tc>
          <w:tcPr>
            <w:tcW w:type="dxa" w:w="66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Blue Sky Consulting; Blue Sky Ltd.; BlueSky Consulting; Blue Sky Consultancy; Blue Sky Co</w:t>
            </w:r>
          </w:p>
        </w:tc>
      </w:tr>
      <w:tr>
        <w:tc>
          <w:tcPr>
            <w:tcW w:type="dxa" w:w="230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Group 2: Northwind</w:t>
            </w:r>
          </w:p>
        </w:tc>
        <w:tc>
          <w:tcPr>
            <w:tcW w:type="dxa" w:w="66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Northwind Traders; North Wind Traders LLC; Northwind Trading; Northwind Traders Ltd.; North Wind Trade Co</w:t>
            </w:r>
          </w:p>
        </w:tc>
      </w:tr>
      <w:tr>
        <w:tc>
          <w:tcPr>
            <w:tcW w:type="dxa" w:w="230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Group 3: Acme</w:t>
            </w:r>
          </w:p>
        </w:tc>
        <w:tc>
          <w:tcPr>
            <w:tcW w:type="dxa" w:w="66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Acme Logistics; Acme Logistic Services; ACME Logistics Inc; Acme Logistics Ltd.; Acme Freight Logistics</w:t>
            </w:r>
          </w:p>
        </w:tc>
      </w:tr>
      <w:tr>
        <w:tc>
          <w:tcPr>
            <w:tcW w:type="dxa" w:w="230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Group 4: Green Farm</w:t>
            </w:r>
          </w:p>
        </w:tc>
        <w:tc>
          <w:tcPr>
            <w:tcW w:type="dxa" w:w="66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Green Farm Supply; GreenFarm Supplies; Green Farm LLC; Green Farm Supply Co; Green Farm Suppliers</w:t>
            </w:r>
          </w:p>
        </w:tc>
      </w:tr>
      <w:tr>
        <w:tc>
          <w:tcPr>
            <w:tcW w:type="dxa" w:w="230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Group 5: Ocean Harbor</w:t>
            </w:r>
          </w:p>
        </w:tc>
        <w:tc>
          <w:tcPr>
            <w:tcW w:type="dxa" w:w="66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Ocean Harbor Services; OceanHarbor Services; Ocean Harbor Ltd; Ocean Harbor Service Co; Ocean Harbor Support</w:t>
            </w:r>
          </w:p>
        </w:tc>
      </w:tr>
    </w:tbl>
    <w:p>
      <w:pPr>
        <w:pStyle w:val="Heading1"/>
      </w:pPr>
      <w:r>
        <w:t>2. Step-By-Step Processing Flow</w:t>
      </w:r>
    </w:p>
    <w:p>
      <w:r>
        <w:t>The scanner did not compare every Account with every other Account. Instead, it converted record fields into normalized clues, created temporary bucket rows, compared only records that shared a bucket, scored those pairs, and then consolidated connected pairs into final duplicate groups.</w:t>
      </w:r>
    </w:p>
    <w:tbl>
      <w:tblPr>
        <w:tblStyle w:val="TableGrid"/>
        <w:tblW w:type="dxa" w:w="9000"/>
        <w:jc w:val="center"/>
        <w:tblLayout w:type="fixed"/>
        <w:tblLook w:firstColumn="1" w:firstRow="1" w:lastColumn="0" w:lastRow="0" w:noHBand="0" w:noVBand="1" w:val="04A0"/>
      </w:tblPr>
      <w:tblGrid>
        <w:gridCol w:w="3360"/>
        <w:gridCol w:w="3360"/>
        <w:gridCol w:w="3360"/>
      </w:tblGrid>
      <w:tr>
        <w:trPr>
          <w:tblHeader w:val="true"/>
        </w:trPr>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Step</w:t>
            </w:r>
          </w:p>
        </w:tc>
        <w:tc>
          <w:tcPr>
            <w:tcW w:type="dxa" w:w="352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What The Scanner Did</w:t>
            </w:r>
          </w:p>
        </w:tc>
        <w:tc>
          <w:tcPr>
            <w:tcW w:type="dxa" w:w="482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Why It Matters</w:t>
            </w:r>
          </w:p>
        </w:tc>
      </w:tr>
      <w:tr>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1</w:t>
            </w:r>
          </w:p>
        </w:tc>
        <w:tc>
          <w:tcPr>
            <w:tcW w:type="dxa" w:w="352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Read Account records</w:t>
            </w:r>
          </w:p>
        </w:tc>
        <w:tc>
          <w:tcPr>
            <w:tcW w:type="dxa" w:w="482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Starts from real Account data in the org.</w:t>
            </w:r>
          </w:p>
        </w:tc>
      </w:tr>
      <w:tr>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2</w:t>
            </w:r>
          </w:p>
        </w:tc>
        <w:tc>
          <w:tcPr>
            <w:tcW w:type="dxa" w:w="352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Normalize useful fields</w:t>
            </w:r>
          </w:p>
        </w:tc>
        <w:tc>
          <w:tcPr>
            <w:tcW w:type="dxa" w:w="482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Turns formatting differences into comparable values. Example: https://domain and domain become the same domain.</w:t>
            </w:r>
          </w:p>
        </w:tc>
      </w:tr>
      <w:tr>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3</w:t>
            </w:r>
          </w:p>
        </w:tc>
        <w:tc>
          <w:tcPr>
            <w:tcW w:type="dxa" w:w="352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Create candidate bucket rows</w:t>
            </w:r>
          </w:p>
        </w:tc>
        <w:tc>
          <w:tcPr>
            <w:tcW w:type="dxa" w:w="482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Each record is placed into small buckets by name/city, phone, domain, and email when available.</w:t>
            </w:r>
          </w:p>
        </w:tc>
      </w:tr>
      <w:tr>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4</w:t>
            </w:r>
          </w:p>
        </w:tc>
        <w:tc>
          <w:tcPr>
            <w:tcW w:type="dxa" w:w="352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Compare records inside the same bucket</w:t>
            </w:r>
          </w:p>
        </w:tc>
        <w:tc>
          <w:tcPr>
            <w:tcW w:type="dxa" w:w="482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Avoids comparing unrelated records that share no useful clue.</w:t>
            </w:r>
          </w:p>
        </w:tc>
      </w:tr>
      <w:tr>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5</w:t>
            </w:r>
          </w:p>
        </w:tc>
        <w:tc>
          <w:tcPr>
            <w:tcW w:type="dxa" w:w="352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Score each candidate pair</w:t>
            </w:r>
          </w:p>
        </w:tc>
        <w:tc>
          <w:tcPr>
            <w:tcW w:type="dxa" w:w="482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Uses name, phone, domain, city, and other clues to decide if a pair is likely duplicate.</w:t>
            </w:r>
          </w:p>
        </w:tc>
      </w:tr>
      <w:tr>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6</w:t>
            </w:r>
          </w:p>
        </w:tc>
        <w:tc>
          <w:tcPr>
            <w:tcW w:type="dxa" w:w="352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Write matched pairs</w:t>
            </w:r>
          </w:p>
        </w:tc>
        <w:tc>
          <w:tcPr>
            <w:tcW w:type="dxa" w:w="482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Pairs at or above threshold become pair evidence.</w:t>
            </w:r>
          </w:p>
        </w:tc>
      </w:tr>
      <w:tr>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7</w:t>
            </w:r>
          </w:p>
        </w:tc>
        <w:tc>
          <w:tcPr>
            <w:tcW w:type="dxa" w:w="352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Consolidate overlapping pairs</w:t>
            </w:r>
          </w:p>
        </w:tc>
        <w:tc>
          <w:tcPr>
            <w:tcW w:type="dxa" w:w="482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If A matches B and B matches C, final output becomes A+B+C.</w:t>
            </w:r>
          </w:p>
        </w:tc>
      </w:tr>
      <w:tr>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8</w:t>
            </w:r>
          </w:p>
        </w:tc>
        <w:tc>
          <w:tcPr>
            <w:tcW w:type="dxa" w:w="352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Persist final groups and members</w:t>
            </w:r>
          </w:p>
        </w:tc>
        <w:tc>
          <w:tcPr>
            <w:tcW w:type="dxa" w:w="482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Writes final duplicate groups users can review.</w:t>
            </w:r>
          </w:p>
        </w:tc>
      </w:tr>
      <w:tr>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9</w:t>
            </w:r>
          </w:p>
        </w:tc>
        <w:tc>
          <w:tcPr>
            <w:tcW w:type="dxa" w:w="352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Cleanup temporary rows</w:t>
            </w:r>
          </w:p>
        </w:tc>
        <w:tc>
          <w:tcPr>
            <w:tcW w:type="dxa" w:w="482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Deletes candidate and pair staging rows after the final output is saved.</w:t>
            </w:r>
          </w:p>
        </w:tc>
      </w:tr>
    </w:tbl>
    <w:p>
      <w:pPr>
        <w:pStyle w:val="Heading1"/>
      </w:pPr>
      <w:r>
        <w:t>3. Normalization Example Using Actual Blue Sky Records</w:t>
      </w:r>
    </w:p>
    <w:p>
      <w:r>
        <w:t>Normalization is the reason records with different formatting can still match. The scanner stores normalized values in temporary candidate rows. It does not permanently change the Account data.</w:t>
      </w:r>
    </w:p>
    <w:tbl>
      <w:tblPr>
        <w:tblStyle w:val="TableGrid"/>
        <w:tblW w:type="dxa" w:w="9000"/>
        <w:jc w:val="center"/>
        <w:tblLayout w:type="fixed"/>
        <w:tblLook w:firstColumn="1" w:firstRow="1" w:lastColumn="0" w:lastRow="0" w:noHBand="0" w:noVBand="1" w:val="04A0"/>
      </w:tblPr>
      <w:tblGrid>
        <w:gridCol w:w="2520"/>
        <w:gridCol w:w="2520"/>
        <w:gridCol w:w="2520"/>
        <w:gridCol w:w="2520"/>
      </w:tblGrid>
      <w:tr>
        <w:trPr>
          <w:tblHeader w:val="true"/>
        </w:trPr>
        <w:tc>
          <w:tcPr>
            <w:tcW w:type="dxa" w:w="223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Actual Record</w:t>
            </w:r>
          </w:p>
        </w:tc>
        <w:tc>
          <w:tcPr>
            <w:tcW w:type="dxa" w:w="252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Original Value</w:t>
            </w:r>
          </w:p>
        </w:tc>
        <w:tc>
          <w:tcPr>
            <w:tcW w:type="dxa" w:w="252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Normalized/Comparable Value</w:t>
            </w:r>
          </w:p>
        </w:tc>
        <w:tc>
          <w:tcPr>
            <w:tcW w:type="dxa" w:w="172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Why</w:t>
            </w:r>
          </w:p>
        </w:tc>
      </w:tr>
      <w:tr>
        <w:tc>
          <w:tcPr>
            <w:tcW w:type="dxa" w:w="223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Blue Sky Consulting</w:t>
            </w:r>
          </w:p>
        </w:tc>
        <w:tc>
          <w:tcPr>
            <w:tcW w:type="dxa" w:w="252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Name = Blue Sky Consulting</w:t>
            </w:r>
          </w:p>
        </w:tc>
        <w:tc>
          <w:tcPr>
            <w:tcW w:type="dxa" w:w="252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name compact similar to blueskyconsulting</w:t>
            </w:r>
          </w:p>
        </w:tc>
        <w:tc>
          <w:tcPr>
            <w:tcW w:type="dxa" w:w="172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Spaces and punctuation are removed for comparison.</w:t>
            </w:r>
          </w:p>
        </w:tc>
      </w:tr>
      <w:tr>
        <w:tc>
          <w:tcPr>
            <w:tcW w:type="dxa" w:w="223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BlueSky Consulting</w:t>
            </w:r>
          </w:p>
        </w:tc>
        <w:tc>
          <w:tcPr>
            <w:tcW w:type="dxa" w:w="252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Name = BlueSky Consulting</w:t>
            </w:r>
          </w:p>
        </w:tc>
        <w:tc>
          <w:tcPr>
            <w:tcW w:type="dxa" w:w="252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name compact similar to blueskyconsulting</w:t>
            </w:r>
          </w:p>
        </w:tc>
        <w:tc>
          <w:tcPr>
            <w:tcW w:type="dxa" w:w="172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Joined words still compare close to spaced words.</w:t>
            </w:r>
          </w:p>
        </w:tc>
      </w:tr>
      <w:tr>
        <w:tc>
          <w:tcPr>
            <w:tcW w:type="dxa" w:w="223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Blue Sky Ltd.</w:t>
            </w:r>
          </w:p>
        </w:tc>
        <w:tc>
          <w:tcPr>
            <w:tcW w:type="dxa" w:w="252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Name = Blue Sky Ltd.</w:t>
            </w:r>
          </w:p>
        </w:tc>
        <w:tc>
          <w:tcPr>
            <w:tcW w:type="dxa" w:w="252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legal suffix is treated as less important</w:t>
            </w:r>
          </w:p>
        </w:tc>
        <w:tc>
          <w:tcPr>
            <w:tcW w:type="dxa" w:w="172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Ltd. should not prevent a match.</w:t>
            </w:r>
          </w:p>
        </w:tc>
      </w:tr>
      <w:tr>
        <w:tc>
          <w:tcPr>
            <w:tcW w:type="dxa" w:w="223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Blue Sky Consulting</w:t>
            </w:r>
          </w:p>
        </w:tc>
        <w:tc>
          <w:tcPr>
            <w:tcW w:type="dxa" w:w="252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Website = codex50-g1-1782822964158.example</w:t>
            </w:r>
          </w:p>
        </w:tc>
        <w:tc>
          <w:tcPr>
            <w:tcW w:type="dxa" w:w="252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D|codex50-g1-1782822964158.example</w:t>
            </w:r>
          </w:p>
        </w:tc>
        <w:tc>
          <w:tcPr>
            <w:tcW w:type="dxa" w:w="172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Domain bucket key is created.</w:t>
            </w:r>
          </w:p>
        </w:tc>
      </w:tr>
      <w:tr>
        <w:tc>
          <w:tcPr>
            <w:tcW w:type="dxa" w:w="223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Blue Sky Ltd.</w:t>
            </w:r>
          </w:p>
        </w:tc>
        <w:tc>
          <w:tcPr>
            <w:tcW w:type="dxa" w:w="252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Website = https://codex50-g1-1782822964158.example</w:t>
            </w:r>
          </w:p>
        </w:tc>
        <w:tc>
          <w:tcPr>
            <w:tcW w:type="dxa" w:w="252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D|codex50-g1-1782822964158.example</w:t>
            </w:r>
          </w:p>
        </w:tc>
        <w:tc>
          <w:tcPr>
            <w:tcW w:type="dxa" w:w="172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https:// is stripped, so both records share the same domain bucket.</w:t>
            </w:r>
          </w:p>
        </w:tc>
      </w:tr>
      <w:tr>
        <w:tc>
          <w:tcPr>
            <w:tcW w:type="dxa" w:w="223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Blue Sky Consulting + Blue Sky Ltd.</w:t>
            </w:r>
          </w:p>
        </w:tc>
        <w:tc>
          <w:tcPr>
            <w:tcW w:type="dxa" w:w="252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Phone = 2125550144</w:t>
            </w:r>
          </w:p>
        </w:tc>
        <w:tc>
          <w:tcPr>
            <w:tcW w:type="dxa" w:w="252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P|2125550144</w:t>
            </w:r>
          </w:p>
        </w:tc>
        <w:tc>
          <w:tcPr>
            <w:tcW w:type="dxa" w:w="172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Same phone creates a shared phone bucket.</w:t>
            </w:r>
          </w:p>
        </w:tc>
      </w:tr>
    </w:tbl>
    <w:p>
      <w:pPr>
        <w:pStyle w:val="Heading1"/>
      </w:pPr>
      <w:r>
        <w:t>4. What Bucket Rows Were Created?</w:t>
      </w:r>
    </w:p>
    <w:p>
      <w:r>
        <w:t>A bucket is a temporary grouping key. The full bucket value matters. For example, P|2125550144 and P|7000000002 are different buckets even though both start with P.</w:t>
      </w:r>
    </w:p>
    <w:tbl>
      <w:tblPr>
        <w:tblStyle w:val="TableGrid"/>
        <w:tblW w:type="dxa" w:w="9000"/>
        <w:jc w:val="center"/>
        <w:tblLayout w:type="fixed"/>
        <w:tblLook w:firstColumn="1" w:firstRow="1" w:lastColumn="0" w:lastRow="0" w:noHBand="0" w:noVBand="1" w:val="04A0"/>
      </w:tblPr>
      <w:tblGrid>
        <w:gridCol w:w="3360"/>
        <w:gridCol w:w="3360"/>
        <w:gridCol w:w="3360"/>
      </w:tblGrid>
      <w:tr>
        <w:trPr>
          <w:tblHeader w:val="true"/>
        </w:trP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Actual Record</w:t>
            </w:r>
          </w:p>
        </w:tc>
        <w:tc>
          <w:tcPr>
            <w:tcW w:type="dxa" w:w="331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Bucket Key Created</w:t>
            </w:r>
          </w:p>
        </w:tc>
        <w:tc>
          <w:tcPr>
            <w:tcW w:type="dxa" w:w="30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Meaning</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Blue Sky Consulting</w:t>
            </w:r>
          </w:p>
        </w:tc>
        <w:tc>
          <w:tcPr>
            <w:tcW w:type="dxa" w:w="331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P|2125550144</w:t>
            </w:r>
          </w:p>
        </w:tc>
        <w:tc>
          <w:tcPr>
            <w:tcW w:type="dxa" w:w="30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Phone bucket for records with phone 2125550144.</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Blue Sky Ltd.</w:t>
            </w:r>
          </w:p>
        </w:tc>
        <w:tc>
          <w:tcPr>
            <w:tcW w:type="dxa" w:w="331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P|2125550144</w:t>
            </w:r>
          </w:p>
        </w:tc>
        <w:tc>
          <w:tcPr>
            <w:tcW w:type="dxa" w:w="30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Same phone bucket, so these two records are compared.</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BlueSky Consulting</w:t>
            </w:r>
          </w:p>
        </w:tc>
        <w:tc>
          <w:tcPr>
            <w:tcW w:type="dxa" w:w="331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P|7000000002</w:t>
            </w:r>
          </w:p>
        </w:tc>
        <w:tc>
          <w:tcPr>
            <w:tcW w:type="dxa" w:w="30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Different phone bucket, so phone alone does not connect it to the first two.</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All 5 Blue Sky records</w:t>
            </w:r>
          </w:p>
        </w:tc>
        <w:tc>
          <w:tcPr>
            <w:tcW w:type="dxa" w:w="331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D|codex50-g1-1782822964158.example</w:t>
            </w:r>
          </w:p>
        </w:tc>
        <w:tc>
          <w:tcPr>
            <w:tcW w:type="dxa" w:w="30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Same domain bucket, so all five Blue Sky records become comparison candidates.</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 Unique Company 1</w:t>
            </w:r>
          </w:p>
        </w:tc>
        <w:tc>
          <w:tcPr>
            <w:tcW w:type="dxa" w:w="331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D|codex50-unique-1-1782822964158.example</w:t>
            </w:r>
          </w:p>
        </w:tc>
        <w:tc>
          <w:tcPr>
            <w:tcW w:type="dxa" w:w="30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Only one record in this domain bucket, so it is ignored for matching.</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 Unique Company 2</w:t>
            </w:r>
          </w:p>
        </w:tc>
        <w:tc>
          <w:tcPr>
            <w:tcW w:type="dxa" w:w="331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D|codex50-unique-2-1782822964158.example</w:t>
            </w:r>
          </w:p>
        </w:tc>
        <w:tc>
          <w:tcPr>
            <w:tcW w:type="dxa" w:w="30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Different unique bucket, so it does not get compared with Unique Company 1.</w:t>
            </w:r>
          </w:p>
        </w:tc>
      </w:tr>
    </w:tbl>
    <w:p>
      <w:pPr>
        <w:pStyle w:val="Heading1"/>
      </w:pPr>
      <w:r>
        <w:t>5. How Pair Scoring Worked</w:t>
      </w:r>
    </w:p>
    <w:p>
      <w:r>
        <w:t>Inside a bucket, the scanner scored candidate pairs. A pair needed a score of at least 75. Strong evidence came from similar names, same domain, same phone, and same city. Different phone numbers did not automatically block a match when name and domain were strong.</w:t>
      </w:r>
    </w:p>
    <w:tbl>
      <w:tblPr>
        <w:tblStyle w:val="TableGrid"/>
        <w:tblW w:type="dxa" w:w="9000"/>
        <w:jc w:val="center"/>
        <w:tblLayout w:type="fixed"/>
        <w:tblLook w:firstColumn="1" w:firstRow="1" w:lastColumn="0" w:lastRow="0" w:noHBand="0" w:noVBand="1" w:val="04A0"/>
      </w:tblPr>
      <w:tblGrid>
        <w:gridCol w:w="2520"/>
        <w:gridCol w:w="2520"/>
        <w:gridCol w:w="2520"/>
        <w:gridCol w:w="2520"/>
      </w:tblGrid>
      <w:tr>
        <w:trPr>
          <w:tblHeader w:val="true"/>
        </w:trPr>
        <w:tc>
          <w:tcPr>
            <w:tcW w:type="dxa" w:w="288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Actual Pair</w:t>
            </w:r>
          </w:p>
        </w:tc>
        <w:tc>
          <w:tcPr>
            <w:tcW w:type="dxa" w:w="324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Shared Evidence</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Final Score</w:t>
            </w:r>
          </w:p>
        </w:tc>
        <w:tc>
          <w:tcPr>
            <w:tcW w:type="dxa" w:w="158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Outcome</w:t>
            </w:r>
          </w:p>
        </w:tc>
      </w:tr>
      <w:tr>
        <w:tc>
          <w:tcPr>
            <w:tcW w:type="dxa" w:w="288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Blue Sky Consulting + Blue Sky Ltd.</w:t>
            </w:r>
          </w:p>
        </w:tc>
        <w:tc>
          <w:tcPr>
            <w:tcW w:type="dxa" w:w="324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Similar name, same phone, same domain, same city</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100</w:t>
            </w:r>
          </w:p>
        </w:tc>
        <w:tc>
          <w:tcPr>
            <w:tcW w:type="dxa" w:w="158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Matched</w:t>
            </w:r>
          </w:p>
        </w:tc>
      </w:tr>
      <w:tr>
        <w:tc>
          <w:tcPr>
            <w:tcW w:type="dxa" w:w="288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BlueSky Consulting + Blue Sky Consulting</w:t>
            </w:r>
          </w:p>
        </w:tc>
        <w:tc>
          <w:tcPr>
            <w:tcW w:type="dxa" w:w="324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Very similar name, same domain, same city, different phone</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88</w:t>
            </w:r>
          </w:p>
        </w:tc>
        <w:tc>
          <w:tcPr>
            <w:tcW w:type="dxa" w:w="158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Matched</w:t>
            </w:r>
          </w:p>
        </w:tc>
      </w:tr>
      <w:tr>
        <w:tc>
          <w:tcPr>
            <w:tcW w:type="dxa" w:w="288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Acme Logistics + Acme Freight Logistics</w:t>
            </w:r>
          </w:p>
        </w:tc>
        <w:tc>
          <w:tcPr>
            <w:tcW w:type="dxa" w:w="324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Token-subset name, same domain, same city, different phone</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83</w:t>
            </w:r>
          </w:p>
        </w:tc>
        <w:tc>
          <w:tcPr>
            <w:tcW w:type="dxa" w:w="158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Matched after heuristic tuning</w:t>
            </w:r>
          </w:p>
        </w:tc>
      </w:tr>
      <w:tr>
        <w:tc>
          <w:tcPr>
            <w:tcW w:type="dxa" w:w="288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Green Farm Supply + Green Farm Suppliers</w:t>
            </w:r>
          </w:p>
        </w:tc>
        <w:tc>
          <w:tcPr>
            <w:tcW w:type="dxa" w:w="324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Similar/plural name, same domain, same city</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78</w:t>
            </w:r>
          </w:p>
        </w:tc>
        <w:tc>
          <w:tcPr>
            <w:tcW w:type="dxa" w:w="158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Matched at threshold</w:t>
            </w:r>
          </w:p>
        </w:tc>
      </w:tr>
      <w:tr>
        <w:tc>
          <w:tcPr>
            <w:tcW w:type="dxa" w:w="288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 Unique Company 1 + Codex Unique Company 2</w:t>
            </w:r>
          </w:p>
        </w:tc>
        <w:tc>
          <w:tcPr>
            <w:tcW w:type="dxa" w:w="324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Different phone, different website domain, different city</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Below threshold / not paired</w:t>
            </w:r>
          </w:p>
        </w:tc>
        <w:tc>
          <w:tcPr>
            <w:tcW w:type="dxa" w:w="158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Not flagged</w:t>
            </w:r>
          </w:p>
        </w:tc>
      </w:tr>
    </w:tbl>
    <w:p>
      <w:pPr>
        <w:pStyle w:val="Heading1"/>
      </w:pPr>
      <w:r>
        <w:t>6. How Cross-Pair Consolidation Made Full Groups</w:t>
      </w:r>
    </w:p>
    <w:p>
      <w:r>
        <w:t>The scanner does not require every record in a group to match every other record directly. It uses connected pair evidence. If one record links to another, and that second record links to a third, all connected records become one final duplicate group.</w:t>
      </w:r>
    </w:p>
    <w:tbl>
      <w:tblPr>
        <w:tblStyle w:val="TableGrid"/>
        <w:tblW w:type="dxa" w:w="9000"/>
        <w:jc w:val="center"/>
        <w:tblLayout w:type="fixed"/>
        <w:tblLook w:firstColumn="1" w:firstRow="1" w:lastColumn="0" w:lastRow="0" w:noHBand="0" w:noVBand="1" w:val="04A0"/>
      </w:tblPr>
      <w:tblGrid>
        <w:gridCol w:w="5040"/>
        <w:gridCol w:w="5040"/>
      </w:tblGrid>
      <w:tr>
        <w:trPr>
          <w:tblHeader w:val="true"/>
        </w:trPr>
        <w:tc>
          <w:tcPr>
            <w:tcW w:type="dxa" w:w="417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7"/>
              </w:rPr>
              <w:t>Pair Evidence In Blue Sky</w:t>
            </w:r>
          </w:p>
        </w:tc>
        <w:tc>
          <w:tcPr>
            <w:tcW w:type="dxa" w:w="482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7"/>
              </w:rPr>
              <w:t>Effect</w:t>
            </w:r>
          </w:p>
        </w:tc>
      </w:tr>
      <w:tr>
        <w:tc>
          <w:tcPr>
            <w:tcW w:type="dxa" w:w="417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Blue Sky Consulting matched Blue Sky Ltd.</w:t>
            </w:r>
          </w:p>
        </w:tc>
        <w:tc>
          <w:tcPr>
            <w:tcW w:type="dxa" w:w="482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Creates the first connection.</w:t>
            </w:r>
          </w:p>
        </w:tc>
      </w:tr>
      <w:tr>
        <w:tc>
          <w:tcPr>
            <w:tcW w:type="dxa" w:w="417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Blue Sky Consulting matched BlueSky Consulting</w:t>
            </w:r>
          </w:p>
        </w:tc>
        <w:tc>
          <w:tcPr>
            <w:tcW w:type="dxa" w:w="482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Pulls BlueSky Consulting into the same connected set.</w:t>
            </w:r>
          </w:p>
        </w:tc>
      </w:tr>
      <w:tr>
        <w:tc>
          <w:tcPr>
            <w:tcW w:type="dxa" w:w="417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BlueSky Consulting matched Blue Sky Consultancy</w:t>
            </w:r>
          </w:p>
        </w:tc>
        <w:tc>
          <w:tcPr>
            <w:tcW w:type="dxa" w:w="482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Extends the set.</w:t>
            </w:r>
          </w:p>
        </w:tc>
      </w:tr>
      <w:tr>
        <w:tc>
          <w:tcPr>
            <w:tcW w:type="dxa" w:w="417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Blue Sky Consultancy matched Blue Sky Co</w:t>
            </w:r>
          </w:p>
        </w:tc>
        <w:tc>
          <w:tcPr>
            <w:tcW w:type="dxa" w:w="482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Adds the fifth Blue Sky record.</w:t>
            </w:r>
          </w:p>
        </w:tc>
      </w:tr>
      <w:tr>
        <w:tc>
          <w:tcPr>
            <w:tcW w:type="dxa" w:w="417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All connected records</w:t>
            </w:r>
          </w:p>
        </w:tc>
        <w:tc>
          <w:tcPr>
            <w:tcW w:type="dxa" w:w="482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Final persisted group contains all 5 test Blue Sky records.</w:t>
            </w:r>
          </w:p>
        </w:tc>
      </w:tr>
    </w:tbl>
    <w:p>
      <w:pPr>
        <w:pStyle w:val="Heading1"/>
      </w:pPr>
      <w:r>
        <w:t>7. Why The Unique Records Stayed Clean</w:t>
      </w:r>
    </w:p>
    <w:p>
      <w:r>
        <w:t>The unique records were intentionally given different names, different phone numbers, different website domains, and different cities. That means they either landed alone in their buckets or did not score high enough against other records.</w:t>
      </w:r>
    </w:p>
    <w:tbl>
      <w:tblPr>
        <w:tblStyle w:val="TableGrid"/>
        <w:tblW w:type="dxa" w:w="9000"/>
        <w:jc w:val="center"/>
        <w:tblLayout w:type="fixed"/>
        <w:tblLook w:firstColumn="1" w:firstRow="1" w:lastColumn="0" w:lastRow="0" w:noHBand="0" w:noVBand="1" w:val="04A0"/>
      </w:tblPr>
      <w:tblGrid>
        <w:gridCol w:w="3360"/>
        <w:gridCol w:w="3360"/>
        <w:gridCol w:w="3360"/>
      </w:tblGrid>
      <w:tr>
        <w:trPr>
          <w:tblHeader w:val="true"/>
        </w:trPr>
        <w:tc>
          <w:tcPr>
            <w:tcW w:type="dxa" w:w="230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7"/>
              </w:rPr>
              <w:t>Unique Record Pattern</w:t>
            </w:r>
          </w:p>
        </w:tc>
        <w:tc>
          <w:tcPr>
            <w:tcW w:type="dxa" w:w="345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7"/>
              </w:rPr>
              <w:t>Example</w:t>
            </w:r>
          </w:p>
        </w:tc>
        <w:tc>
          <w:tcPr>
            <w:tcW w:type="dxa" w:w="324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7"/>
              </w:rPr>
              <w:t>Processing Result</w:t>
            </w:r>
          </w:p>
        </w:tc>
      </w:tr>
      <w:tr>
        <w:tc>
          <w:tcPr>
            <w:tcW w:type="dxa" w:w="230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Unique name</w:t>
            </w:r>
          </w:p>
        </w:tc>
        <w:tc>
          <w:tcPr>
            <w:tcW w:type="dxa" w:w="345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Codex Unique Company 1 1782822964158</w:t>
            </w:r>
          </w:p>
        </w:tc>
        <w:tc>
          <w:tcPr>
            <w:tcW w:type="dxa" w:w="324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No similar company name in the test data.</w:t>
            </w:r>
          </w:p>
        </w:tc>
      </w:tr>
      <w:tr>
        <w:tc>
          <w:tcPr>
            <w:tcW w:type="dxa" w:w="230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Unique phone</w:t>
            </w:r>
          </w:p>
        </w:tc>
        <w:tc>
          <w:tcPr>
            <w:tcW w:type="dxa" w:w="345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8000000000</w:t>
            </w:r>
          </w:p>
        </w:tc>
        <w:tc>
          <w:tcPr>
            <w:tcW w:type="dxa" w:w="324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No other test record shared this phone.</w:t>
            </w:r>
          </w:p>
        </w:tc>
      </w:tr>
      <w:tr>
        <w:tc>
          <w:tcPr>
            <w:tcW w:type="dxa" w:w="230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Unique domain</w:t>
            </w:r>
          </w:p>
        </w:tc>
        <w:tc>
          <w:tcPr>
            <w:tcW w:type="dxa" w:w="345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codex50-unique-1-1782822964158.example</w:t>
            </w:r>
          </w:p>
        </w:tc>
        <w:tc>
          <w:tcPr>
            <w:tcW w:type="dxa" w:w="324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No other test record shared this domain.</w:t>
            </w:r>
          </w:p>
        </w:tc>
      </w:tr>
      <w:tr>
        <w:tc>
          <w:tcPr>
            <w:tcW w:type="dxa" w:w="230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Unique city</w:t>
            </w:r>
          </w:p>
        </w:tc>
        <w:tc>
          <w:tcPr>
            <w:tcW w:type="dxa" w:w="345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City 1</w:t>
            </w:r>
          </w:p>
        </w:tc>
        <w:tc>
          <w:tcPr>
            <w:tcW w:type="dxa" w:w="324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No useful city overlap with duplicate groups.</w:t>
            </w:r>
          </w:p>
        </w:tc>
      </w:tr>
      <w:tr>
        <w:tc>
          <w:tcPr>
            <w:tcW w:type="dxa" w:w="230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Final output</w:t>
            </w:r>
          </w:p>
        </w:tc>
        <w:tc>
          <w:tcPr>
            <w:tcW w:type="dxa" w:w="345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All 25 unique records</w:t>
            </w:r>
          </w:p>
        </w:tc>
        <w:tc>
          <w:tcPr>
            <w:tcW w:type="dxa" w:w="3240"/>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7"/>
              </w:rPr>
              <w:t>0 were flagged as duplicate members.</w:t>
            </w:r>
          </w:p>
        </w:tc>
      </w:tr>
    </w:tbl>
    <w:p>
      <w:pPr>
        <w:pStyle w:val="Heading1"/>
      </w:pPr>
      <w:r>
        <w:t>8. Final Duplicate Groups Produced</w:t>
      </w:r>
    </w:p>
    <w:p>
      <w:r>
        <w:t>The final output contained five duplicate groups from the 50-record dataset. The Blue Sky group had 8 total records because older Blue Sky test records already existed in the org and matched the new Blue Sky records. The table below focuses on the test records in each group.</w:t>
      </w:r>
    </w:p>
    <w:p>
      <w:pPr>
        <w:pStyle w:val="Heading2"/>
      </w:pPr>
      <w:r>
        <w:t>Blue Sky</w:t>
      </w:r>
    </w:p>
    <w:tbl>
      <w:tblPr>
        <w:tblStyle w:val="TableGrid"/>
        <w:tblW w:type="dxa" w:w="8640"/>
        <w:jc w:val="center"/>
        <w:tblLayout w:type="fixed"/>
        <w:tblLook w:firstColumn="1" w:firstRow="1" w:lastColumn="0" w:lastRow="0" w:noHBand="0" w:noVBand="1" w:val="04A0"/>
      </w:tblPr>
      <w:tblGrid>
        <w:gridCol w:w="2520"/>
        <w:gridCol w:w="2520"/>
        <w:gridCol w:w="2520"/>
        <w:gridCol w:w="2520"/>
      </w:tblGrid>
      <w:tr>
        <w:trPr>
          <w:tblHeader w:val="true"/>
        </w:trP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Account</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Phone</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Domain</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Score</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Blue Sky Consulting</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2125550144</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codex50-g1-1782822964158.example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100</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Blue Sky Ltd.</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2125550144</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codex50-g1-1782822964158.example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100</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BlueSky Consulting</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7000000002</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codex50-g1-1782822964158.example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88</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Blue Sky Consultancy</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7000000003</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codex50-g1-1782822964158.example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88</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Blue Sky Co</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7000000004</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codex50-g1-1782822964158.example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88</w:t>
            </w:r>
          </w:p>
        </w:tc>
      </w:tr>
    </w:tbl>
    <w:p>
      <w:pPr>
        <w:pStyle w:val="Heading2"/>
      </w:pPr>
      <w:r>
        <w:t>Northwind</w:t>
      </w:r>
    </w:p>
    <w:tbl>
      <w:tblPr>
        <w:tblStyle w:val="TableGrid"/>
        <w:tblW w:type="dxa" w:w="8640"/>
        <w:jc w:val="center"/>
        <w:tblLayout w:type="fixed"/>
        <w:tblLook w:firstColumn="1" w:firstRow="1" w:lastColumn="0" w:lastRow="0" w:noHBand="0" w:noVBand="1" w:val="04A0"/>
      </w:tblPr>
      <w:tblGrid>
        <w:gridCol w:w="2520"/>
        <w:gridCol w:w="2520"/>
        <w:gridCol w:w="2520"/>
        <w:gridCol w:w="2520"/>
      </w:tblGrid>
      <w:tr>
        <w:trPr>
          <w:tblHeader w:val="true"/>
        </w:trP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Account</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Phone</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Domain</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Score</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Northwind Traders</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2065550199</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codex50-g2-1782822964158.example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100</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North Wind Traders LLC</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2065550199</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codex50-g2-1782822964158.example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100</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Northwind Trading</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7000000102</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codex50-g2-1782822964158.example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81</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Northwind Traders Ltd.</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7000000103</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codex50-g2-1782822964158.example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88</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North Wind Trade Co</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7000000104</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codex50-g2-1782822964158.example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88</w:t>
            </w:r>
          </w:p>
        </w:tc>
      </w:tr>
    </w:tbl>
    <w:p>
      <w:pPr>
        <w:pStyle w:val="Heading2"/>
      </w:pPr>
      <w:r>
        <w:t>Acme</w:t>
      </w:r>
    </w:p>
    <w:tbl>
      <w:tblPr>
        <w:tblStyle w:val="TableGrid"/>
        <w:tblW w:type="dxa" w:w="8640"/>
        <w:jc w:val="center"/>
        <w:tblLayout w:type="fixed"/>
        <w:tblLook w:firstColumn="1" w:firstRow="1" w:lastColumn="0" w:lastRow="0" w:noHBand="0" w:noVBand="1" w:val="04A0"/>
      </w:tblPr>
      <w:tblGrid>
        <w:gridCol w:w="2520"/>
        <w:gridCol w:w="2520"/>
        <w:gridCol w:w="2520"/>
        <w:gridCol w:w="2520"/>
      </w:tblGrid>
      <w:tr>
        <w:trPr>
          <w:tblHeader w:val="true"/>
        </w:trP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Account</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Phone</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Domain</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Score</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Acme Logistics</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3035550111</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codex50-g3-1782822964158.example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89</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Acme Logistic Services</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3035550111</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codex50-g3-1782822964158.example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89</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ACME Logistics Inc</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7000000202</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codex50-g3-1782822964158.example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88</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Acme Logistics Ltd.</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7000000203</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codex50-g3-1782822964158.example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88</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Acme Freight Logistics</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7000000204</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codex50-g3-1782822964158.example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83</w:t>
            </w:r>
          </w:p>
        </w:tc>
      </w:tr>
    </w:tbl>
    <w:p>
      <w:pPr>
        <w:pStyle w:val="Heading2"/>
      </w:pPr>
      <w:r>
        <w:t>Green Farm</w:t>
      </w:r>
    </w:p>
    <w:tbl>
      <w:tblPr>
        <w:tblStyle w:val="TableGrid"/>
        <w:tblW w:type="dxa" w:w="8640"/>
        <w:jc w:val="center"/>
        <w:tblLayout w:type="fixed"/>
        <w:tblLook w:firstColumn="1" w:firstRow="1" w:lastColumn="0" w:lastRow="0" w:noHBand="0" w:noVBand="1" w:val="04A0"/>
      </w:tblPr>
      <w:tblGrid>
        <w:gridCol w:w="2520"/>
        <w:gridCol w:w="2520"/>
        <w:gridCol w:w="2520"/>
        <w:gridCol w:w="2520"/>
      </w:tblGrid>
      <w:tr>
        <w:trPr>
          <w:tblHeader w:val="true"/>
        </w:trP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Account</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Phone</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Domain</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Score</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Green Farm Supply</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5125550188</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codex50-g4-1782822964158.example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88</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GreenFarm Supplies</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5125550188</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codex50-g4-1782822964158.example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84</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Green Farm LLC</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7000000302</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codex50-g4-1782822964158.example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79</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Green Farm Supply Co</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7000000303</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codex50-g4-1782822964158.example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88</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Green Farm Suppliers</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7000000304</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codex50-g4-1782822964158.example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78</w:t>
            </w:r>
          </w:p>
        </w:tc>
      </w:tr>
    </w:tbl>
    <w:p>
      <w:pPr>
        <w:pStyle w:val="Heading2"/>
      </w:pPr>
      <w:r>
        <w:t>Ocean Harbor</w:t>
      </w:r>
    </w:p>
    <w:tbl>
      <w:tblPr>
        <w:tblStyle w:val="TableGrid"/>
        <w:tblW w:type="dxa" w:w="8640"/>
        <w:jc w:val="center"/>
        <w:tblLayout w:type="fixed"/>
        <w:tblLook w:firstColumn="1" w:firstRow="1" w:lastColumn="0" w:lastRow="0" w:noHBand="0" w:noVBand="1" w:val="04A0"/>
      </w:tblPr>
      <w:tblGrid>
        <w:gridCol w:w="2520"/>
        <w:gridCol w:w="2520"/>
        <w:gridCol w:w="2520"/>
        <w:gridCol w:w="2520"/>
      </w:tblGrid>
      <w:tr>
        <w:trPr>
          <w:tblHeader w:val="true"/>
        </w:trP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Account</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Phone</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Domain</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6"/>
              </w:rPr>
              <w:t>Score</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Ocean Harbor Services</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3055550166</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codex50-g5-1782822964158.example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100</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OceanHarbor Services</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3055550166</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codex50-g5-1782822964158.example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100</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Ocean Harbor Ltd</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7000000402</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codex50-g5-1782822964158.example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79</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Ocean Harbor Service Co</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7000000403</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codex50-g5-1782822964158.example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88</w:t>
            </w:r>
          </w:p>
        </w:tc>
      </w:tr>
      <w:tr>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Ocean Harbor Support</w:t>
            </w:r>
          </w:p>
        </w:tc>
        <w:tc>
          <w:tcPr>
            <w:tcW w:type="dxa" w:w="136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7000000404</w:t>
            </w:r>
          </w:p>
        </w:tc>
        <w:tc>
          <w:tcPr>
            <w:tcW w:type="dxa" w:w="3671"/>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codex50-g5-1782822964158.example</w:t>
            </w:r>
          </w:p>
        </w:tc>
        <w:tc>
          <w:tcPr>
            <w:tcW w:type="dxa" w:w="1007"/>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6"/>
              </w:rPr>
              <w:t>79</w:t>
            </w:r>
          </w:p>
        </w:tc>
      </w:tr>
    </w:tbl>
    <w:p>
      <w:pPr>
        <w:pStyle w:val="Heading1"/>
      </w:pPr>
      <w:r>
        <w:t>9. Actual Duplicate Input Records</w:t>
      </w:r>
    </w:p>
    <w:p>
      <w:r>
        <w:t>These are the 25 actual records that were expected to be duplicates and were found in final duplicate groups.</w:t>
      </w:r>
    </w:p>
    <w:tbl>
      <w:tblPr>
        <w:tblStyle w:val="TableGrid"/>
        <w:tblW w:type="dxa" w:w="936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4"/>
              </w:rPr>
              <w:t>#</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4"/>
              </w:rPr>
              <w:t>Expected</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4"/>
              </w:rPr>
              <w:t>Salesforce Id</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4"/>
              </w:rPr>
              <w:t>Account Name</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4"/>
              </w:rPr>
              <w:t>Phone</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4"/>
              </w:rPr>
              <w:t>City</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4"/>
              </w:rPr>
              <w:t>Score</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1</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1</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001dL00002Hn0AZQAZ</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Blue Sky Consulting</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2125550144</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New York</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100</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2</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1</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001dL00002Hn0AaQAJ</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Blue Sky Ltd.</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2125550144</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New York</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100</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3</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1</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001dL00002Hn0AbQAJ</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BlueSky Consulting</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7000000002</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New York</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88</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4</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1</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001dL00002Hn0AcQAJ</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Blue Sky Consultancy</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7000000003</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New York</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88</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5</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1</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001dL00002Hn0AdQAJ</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Blue Sky Co</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7000000004</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New York</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88</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6</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2</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001dL00002Hn0AeQAJ</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Northwind Traders</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2065550199</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Seattle</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100</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7</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2</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001dL00002Hn0AfQAJ</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North Wind Traders LLC</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2065550199</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Seattle</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100</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8</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2</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001dL00002Hn0AgQAJ</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Northwind Trading</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7000000102</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Seattle</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81</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9</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2</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001dL00002Hn0AhQAJ</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Northwind Traders Ltd.</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7000000103</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Seattle</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88</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10</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2</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001dL00002Hn0AiQAJ</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North Wind Trade Co</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7000000104</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Seattle</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88</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11</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3</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001dL00002Hn0AjQAJ</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Acme Logistics</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3035550111</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Denver</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89</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12</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3</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001dL00002Hn0AkQAJ</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Acme Logistic Services</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3035550111</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Denver</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89</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13</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3</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001dL00002Hn0AlQAJ</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ACME Logistics Inc</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7000000202</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Denver</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88</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14</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3</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001dL00002Hn0AmQAJ</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Acme Logistics Ltd.</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7000000203</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Denver</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88</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15</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3</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001dL00002Hn0AnQAJ</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Acme Freight Logistics</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7000000204</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Denver</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83</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16</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4</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001dL00002Hn0AoQAJ</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Green Farm Supply</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5125550188</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Austin</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88</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17</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4</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001dL00002Hn0ApQAJ</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GreenFarm Supplies</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5125550188</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Austin</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84</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18</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4</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001dL00002Hn0AqQAJ</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Green Farm LLC</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7000000302</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Austin</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79</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19</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4</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001dL00002Hn0ArQAJ</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Green Farm Supply Co</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7000000303</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Austin</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88</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20</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4</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001dL00002Hn0AsQAJ</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Green Farm Suppliers</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7000000304</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Austin</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78</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21</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5</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001dL00002Hn0AtQAJ</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Ocean Harbor Services</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3055550166</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Miami</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100</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22</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5</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001dL00002Hn0AuQAJ</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OceanHarbor Services</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3055550166</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Miami</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100</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23</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5</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001dL00002Hn0AvQAJ</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Ocean Harbor Ltd</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7000000402</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Miami</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79</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24</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5</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001dL00002Hn0AwQAJ</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Ocean Harbor Service Co</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7000000403</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Miami</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88</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25</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Group 5</w:t>
            </w:r>
          </w:p>
        </w:tc>
        <w:tc>
          <w:tcPr>
            <w:tcW w:type="dxa" w:w="208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001dL00002Hn0AxQAJ</w:t>
            </w:r>
          </w:p>
        </w:tc>
        <w:tc>
          <w:tcPr>
            <w:tcW w:type="dxa" w:w="2592"/>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Ocean Harbor Support</w:t>
            </w:r>
          </w:p>
        </w:tc>
        <w:tc>
          <w:tcPr>
            <w:tcW w:type="dxa" w:w="129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7000000404</w:t>
            </w:r>
          </w:p>
        </w:tc>
        <w:tc>
          <w:tcPr>
            <w:tcW w:type="dxa" w:w="93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Miami</w:t>
            </w:r>
          </w:p>
        </w:tc>
        <w:tc>
          <w:tcPr>
            <w:tcW w:type="dxa" w:w="648"/>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4"/>
              </w:rPr>
              <w:t>79</w:t>
            </w:r>
          </w:p>
        </w:tc>
      </w:tr>
    </w:tbl>
    <w:p>
      <w:pPr>
        <w:pStyle w:val="Heading1"/>
      </w:pPr>
      <w:r>
        <w:t>10. Actual Unique Input Records</w:t>
      </w:r>
    </w:p>
    <w:p>
      <w:r>
        <w:t>These are the 25 actual records that were expected to remain unflagged. All 25 stayed unflagged.</w:t>
      </w:r>
    </w:p>
    <w:tbl>
      <w:tblPr>
        <w:tblStyle w:val="TableGrid"/>
        <w:tblW w:type="dxa" w:w="10656"/>
        <w:jc w:val="center"/>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shd w:fill="F2F4F7"/>
          </w:tcPr>
          <w:p>
            <w:pPr>
              <w:spacing w:after="0" w:line="221" w:lineRule="auto" w:before="0"/>
            </w:pPr>
            <w:r>
              <w:rPr>
                <w:rFonts w:ascii="Calibri" w:hAnsi="Calibri"/>
                <w:b/>
                <w:color w:val="1F4D78"/>
                <w:sz w:val="12"/>
              </w:rPr>
              <w:t>#</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shd w:fill="F2F4F7"/>
          </w:tcPr>
          <w:p>
            <w:pPr>
              <w:spacing w:after="0" w:line="221" w:lineRule="auto" w:before="0"/>
            </w:pPr>
            <w:r>
              <w:rPr>
                <w:rFonts w:ascii="Calibri" w:hAnsi="Calibri"/>
                <w:b/>
                <w:color w:val="1F4D78"/>
                <w:sz w:val="12"/>
              </w:rPr>
              <w:t>Salesforce Id</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shd w:fill="F2F4F7"/>
          </w:tcPr>
          <w:p>
            <w:pPr>
              <w:spacing w:after="0" w:line="221" w:lineRule="auto" w:before="0"/>
            </w:pPr>
            <w:r>
              <w:rPr>
                <w:rFonts w:ascii="Calibri" w:hAnsi="Calibri"/>
                <w:b/>
                <w:color w:val="1F4D78"/>
                <w:sz w:val="12"/>
              </w:rPr>
              <w:t>Account Name</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shd w:fill="F2F4F7"/>
          </w:tcPr>
          <w:p>
            <w:pPr>
              <w:spacing w:after="0" w:line="221" w:lineRule="auto" w:before="0"/>
            </w:pPr>
            <w:r>
              <w:rPr>
                <w:rFonts w:ascii="Calibri" w:hAnsi="Calibri"/>
                <w:b/>
                <w:color w:val="1F4D78"/>
                <w:sz w:val="12"/>
              </w:rPr>
              <w:t>Phone</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shd w:fill="F2F4F7"/>
          </w:tcPr>
          <w:p>
            <w:pPr>
              <w:spacing w:after="0" w:line="221" w:lineRule="auto" w:before="0"/>
            </w:pPr>
            <w:r>
              <w:rPr>
                <w:rFonts w:ascii="Calibri" w:hAnsi="Calibri"/>
                <w:b/>
                <w:color w:val="1F4D78"/>
                <w:sz w:val="12"/>
              </w:rPr>
              <w:t>Website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shd w:fill="F2F4F7"/>
          </w:tcPr>
          <w:p>
            <w:pPr>
              <w:spacing w:after="0" w:line="221" w:lineRule="auto" w:before="0"/>
            </w:pPr>
            <w:r>
              <w:rPr>
                <w:rFonts w:ascii="Calibri" w:hAnsi="Calibri"/>
                <w:b/>
                <w:color w:val="1F4D78"/>
                <w:sz w:val="12"/>
              </w:rPr>
              <w:t>Result</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26</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001dL00002Hn0AyQAJ</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1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8000000000</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codex50-unique-1-1782822964158.example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27</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001dL00002Hn0AzQAJ</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2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8000000001</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codex50-unique-2-1782822964158.example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28</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001dL00002Hn0B0QAJ</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3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8000000002</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codex50-unique-3-1782822964158.example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29</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001dL00002Hn0B1QAJ</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4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8000000003</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codex50-unique-4-1782822964158.example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30</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001dL00002Hn0B2QAJ</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5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8000000004</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codex50-unique-5-1782822964158.example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31</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001dL00002Hn0B3QAJ</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6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8000000005</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codex50-unique-6-1782822964158.example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32</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001dL00002Hn0B4QAJ</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7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8000000006</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codex50-unique-7-1782822964158.example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33</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001dL00002Hn0B5QAJ</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8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8000000007</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codex50-unique-8-1782822964158.example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34</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001dL00002Hn0B6QAJ</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9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8000000008</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codex50-unique-9-1782822964158.example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35</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001dL00002Hn0B7QAJ</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10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8000000009</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codex50-unique-10-1782822964158.example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36</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001dL00002Hn0B8QAJ</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11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8000000010</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codex50-unique-11-1782822964158.example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37</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001dL00002Hn0B9QAJ</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12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8000000011</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codex50-unique-12-1782822964158.example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38</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001dL00002Hn0BAQAZ</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13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8000000012</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codex50-unique-13-1782822964158.example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39</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001dL00002Hn0BBQAZ</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14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8000000013</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codex50-unique-14-1782822964158.example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40</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001dL00002Hn0BCQAZ</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15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8000000014</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codex50-unique-15-1782822964158.example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41</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001dL00002Hn0BDQAZ</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16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8000000015</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codex50-unique-16-1782822964158.example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42</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001dL00002Hn0BEQAZ</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17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8000000016</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codex50-unique-17-1782822964158.example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43</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001dL00002Hn0BFQAZ</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18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8000000017</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codex50-unique-18-1782822964158.example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44</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001dL00002Hn0BGQAZ</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19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8000000018</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codex50-unique-19-1782822964158.example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45</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001dL00002Hn0BHQAZ</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20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8000000019</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codex50-unique-20-1782822964158.example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46</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001dL00002Hn0BIQAZ</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21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8000000020</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codex50-unique-21-1782822964158.example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47</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001dL00002Hn0BJQAZ</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22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8000000021</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codex50-unique-22-1782822964158.example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48</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001dL00002Hn0BKQAZ</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23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8000000022</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codex50-unique-23-1782822964158.example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49</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001dL00002Hn0BLQAZ</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24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8000000023</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codex50-unique-24-1782822964158.example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r>
        <w:tc>
          <w:tcPr>
            <w:tcW w:type="dxa" w:w="503"/>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50</w:t>
            </w:r>
          </w:p>
        </w:tc>
        <w:tc>
          <w:tcPr>
            <w:tcW w:type="dxa" w:w="194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001dL00002Hn0BMQAZ</w:t>
            </w:r>
          </w:p>
        </w:tc>
        <w:tc>
          <w:tcPr>
            <w:tcW w:type="dxa" w:w="2808"/>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 Unique Company 25 1782822964158</w:t>
            </w:r>
          </w:p>
        </w:tc>
        <w:tc>
          <w:tcPr>
            <w:tcW w:type="dxa" w:w="1224"/>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8000000024</w:t>
            </w:r>
          </w:p>
        </w:tc>
        <w:tc>
          <w:tcPr>
            <w:tcW w:type="dxa" w:w="3096"/>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codex50-unique-25-1782822964158.example</w:t>
            </w:r>
          </w:p>
        </w:tc>
        <w:tc>
          <w:tcPr>
            <w:tcW w:type="dxa" w:w="1080"/>
            <w:vAlign w:val="center"/>
            <w:tcBorders>
              <w:top w:val="single" w:sz="4" w:space="0" w:color="C8D2DF"/>
              <w:left w:val="single" w:sz="4" w:space="0" w:color="C8D2DF"/>
              <w:bottom w:val="single" w:sz="4" w:space="0" w:color="C8D2DF"/>
              <w:right w:val="single" w:sz="4" w:space="0" w:color="C8D2DF"/>
            </w:tcBorders>
            <w:tcMar>
              <w:top w:w="35" w:type="dxa"/>
              <w:start w:w="70" w:type="dxa"/>
              <w:bottom w:w="35" w:type="dxa"/>
              <w:end w:w="70" w:type="dxa"/>
            </w:tcMar>
          </w:tcPr>
          <w:p>
            <w:pPr>
              <w:spacing w:after="0" w:line="221" w:lineRule="auto" w:before="0"/>
            </w:pPr>
            <w:r>
              <w:rPr>
                <w:rFonts w:ascii="Calibri" w:hAnsi="Calibri"/>
                <w:sz w:val="12"/>
              </w:rPr>
              <w:t>Not flagged</w:t>
            </w:r>
          </w:p>
        </w:tc>
      </w:tr>
    </w:tbl>
    <w:p>
      <w:pPr>
        <w:pStyle w:val="Heading1"/>
      </w:pPr>
      <w:r>
        <w:t>11. Final Verification</w:t>
      </w:r>
    </w:p>
    <w:tbl>
      <w:tblPr>
        <w:tblStyle w:val="TableGrid"/>
        <w:tblW w:type="dxa" w:w="9000"/>
        <w:jc w:val="center"/>
        <w:tblLayout w:type="fixed"/>
        <w:tblLook w:firstColumn="1" w:firstRow="1" w:lastColumn="0" w:lastRow="0" w:noHBand="0" w:noVBand="1" w:val="04A0"/>
      </w:tblPr>
      <w:tblGrid>
        <w:gridCol w:w="5040"/>
        <w:gridCol w:w="5040"/>
      </w:tblGrid>
      <w:tr>
        <w:trPr>
          <w:tblHeader w:val="true"/>
        </w:trPr>
        <w:tc>
          <w:tcPr>
            <w:tcW w:type="dxa" w:w="374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8"/>
              </w:rPr>
              <w:t>Check</w:t>
            </w:r>
          </w:p>
        </w:tc>
        <w:tc>
          <w:tcPr>
            <w:tcW w:type="dxa" w:w="525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shd w:fill="F2F4F7"/>
          </w:tcPr>
          <w:p>
            <w:pPr>
              <w:spacing w:after="0" w:line="252" w:lineRule="auto"/>
            </w:pPr>
            <w:r>
              <w:rPr>
                <w:rFonts w:ascii="Calibri" w:hAnsi="Calibri"/>
                <w:b/>
                <w:color w:val="1F4D78"/>
                <w:sz w:val="18"/>
              </w:rPr>
              <w:t>Result</w:t>
            </w:r>
          </w:p>
        </w:tc>
      </w:tr>
      <w:tr>
        <w:tc>
          <w:tcPr>
            <w:tcW w:type="dxa" w:w="374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8"/>
              </w:rPr>
              <w:t>Intended duplicate records found</w:t>
            </w:r>
          </w:p>
        </w:tc>
        <w:tc>
          <w:tcPr>
            <w:tcW w:type="dxa" w:w="525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8"/>
              </w:rPr>
              <w:t>Pass: 25 of 25</w:t>
            </w:r>
          </w:p>
        </w:tc>
      </w:tr>
      <w:tr>
        <w:tc>
          <w:tcPr>
            <w:tcW w:type="dxa" w:w="374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8"/>
              </w:rPr>
              <w:t>Intended unique records incorrectly flagged</w:t>
            </w:r>
          </w:p>
        </w:tc>
        <w:tc>
          <w:tcPr>
            <w:tcW w:type="dxa" w:w="525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8"/>
              </w:rPr>
              <w:t>Pass: 0 of 25</w:t>
            </w:r>
          </w:p>
        </w:tc>
      </w:tr>
      <w:tr>
        <w:tc>
          <w:tcPr>
            <w:tcW w:type="dxa" w:w="374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8"/>
              </w:rPr>
              <w:t>Temporary candidate rows after scan</w:t>
            </w:r>
          </w:p>
        </w:tc>
        <w:tc>
          <w:tcPr>
            <w:tcW w:type="dxa" w:w="525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8"/>
              </w:rPr>
              <w:t>Pass: 0 remaining</w:t>
            </w:r>
          </w:p>
        </w:tc>
      </w:tr>
      <w:tr>
        <w:tc>
          <w:tcPr>
            <w:tcW w:type="dxa" w:w="374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8"/>
              </w:rPr>
              <w:t>Temporary pair rows after scan</w:t>
            </w:r>
          </w:p>
        </w:tc>
        <w:tc>
          <w:tcPr>
            <w:tcW w:type="dxa" w:w="525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8"/>
              </w:rPr>
              <w:t>Pass: 0 remaining</w:t>
            </w:r>
          </w:p>
        </w:tc>
      </w:tr>
      <w:tr>
        <w:tc>
          <w:tcPr>
            <w:tcW w:type="dxa" w:w="3744"/>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8"/>
              </w:rPr>
              <w:t>Main processing behavior</w:t>
            </w:r>
          </w:p>
        </w:tc>
        <w:tc>
          <w:tcPr>
            <w:tcW w:type="dxa" w:w="5256"/>
            <w:vAlign w:val="center"/>
            <w:tcBorders>
              <w:top w:val="single" w:sz="4" w:space="0" w:color="C8D2DF"/>
              <w:left w:val="single" w:sz="4" w:space="0" w:color="C8D2DF"/>
              <w:bottom w:val="single" w:sz="4" w:space="0" w:color="C8D2DF"/>
              <w:right w:val="single" w:sz="4" w:space="0" w:color="C8D2DF"/>
            </w:tcBorders>
            <w:tcMar>
              <w:top w:w="70" w:type="dxa"/>
              <w:start w:w="100" w:type="dxa"/>
              <w:bottom w:w="70" w:type="dxa"/>
              <w:end w:w="100" w:type="dxa"/>
            </w:tcMar>
          </w:tcPr>
          <w:p>
            <w:pPr>
              <w:spacing w:after="0" w:line="252" w:lineRule="auto"/>
            </w:pPr>
            <w:r>
              <w:rPr>
                <w:rFonts w:ascii="Calibri" w:hAnsi="Calibri"/>
                <w:sz w:val="18"/>
              </w:rPr>
              <w:t>Records were bucketed, compared, scored, consolidated, persisted, and cleaned up as expected.</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6"/>
      </w:rPr>
      <w:t>Actual Record Processing Explanation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