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A000320210705083357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HJ636-2012水质总氮的测定碱性过硫酸钾消解紫外分光光度法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4.0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10.0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15.0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20.0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30.0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0.122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0.263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0.402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0.559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0.679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0.851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-0.00398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0.02788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0.9994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空白样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0.0460359</w:t>
            </w:r>
          </w:p>
        </w:tc>
        <w:tc>
          <w:tcPr>
            <w:gridSpan w:val="3"/>
          </w:tcPr>
          <w:p>
            <w:r>
              <w:t>1.376</w:t>
            </w:r>
          </w:p>
        </w:tc>
        <w:tc>
          <w:p>
            <w:r>
              <w:t>1.376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水样1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1.5079955</w:t>
            </w:r>
          </w:p>
        </w:tc>
        <w:tc>
          <w:tcPr>
            <w:gridSpan w:val="3"/>
          </w:tcPr>
          <w:p>
            <w:r>
              <w:t>45.169</w:t>
            </w:r>
          </w:p>
        </w:tc>
        <w:tc>
          <w:p>
            <w:r>
              <w:t>45.169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水样2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0.5566621</w:t>
            </w:r>
          </w:p>
        </w:tc>
        <w:tc>
          <w:tcPr>
            <w:gridSpan w:val="3"/>
          </w:tcPr>
          <w:p>
            <w:r>
              <w:t>8.336</w:t>
            </w:r>
          </w:p>
        </w:tc>
        <w:tc>
          <w:p>
            <w:r>
              <w:t>8.336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水样3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1.4456644</w:t>
            </w:r>
          </w:p>
        </w:tc>
        <w:tc>
          <w:tcPr>
            <w:gridSpan w:val="3"/>
          </w:tcPr>
          <w:p>
            <w:r>
              <w:t>43.302</w:t>
            </w:r>
          </w:p>
        </w:tc>
        <w:tc>
          <w:p>
            <w:r>
              <w:t>43.302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水样4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0.65964556</w:t>
            </w:r>
          </w:p>
        </w:tc>
        <w:tc>
          <w:tcPr>
            <w:gridSpan w:val="3"/>
          </w:tcPr>
          <w:p>
            <w:r>
              <w:t>9.878</w:t>
            </w:r>
          </w:p>
        </w:tc>
        <w:tc>
          <w:p>
            <w:r>
              <w:t>9.878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