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r w:rsidDel="00000000" w:rsidR="00000000" w:rsidRPr="00000000">
        <mc:AlternateContent>
          <mc:Choice Requires="wpg">
            <w:drawing>
              <wp:anchor allowOverlap="1" behindDoc="0" distB="118745" distT="118745" distL="114300" distR="114300" hidden="0" layoutInCell="1" locked="0" relativeHeight="0" simplePos="0">
                <wp:simplePos x="0" y="0"/>
                <wp:positionH relativeFrom="column">
                  <wp:posOffset>-14283</wp:posOffset>
                </wp:positionH>
                <wp:positionV relativeFrom="paragraph">
                  <wp:posOffset>72713</wp:posOffset>
                </wp:positionV>
                <wp:extent cx="3686175" cy="975995"/>
                <wp:effectExtent b="0" l="0" r="0" t="0"/>
                <wp:wrapSquare wrapText="bothSides" distB="118745" distT="118745" distL="114300" distR="114300"/>
                <wp:docPr id="1" name=""/>
                <a:graphic>
                  <a:graphicData uri="http://schemas.microsoft.com/office/word/2010/wordprocessingShape">
                    <wps:wsp>
                      <wps:cNvSpPr/>
                      <wps:cNvPr id="2" name="Shape 2"/>
                      <wps:spPr>
                        <a:xfrm>
                          <a:off x="3517200" y="3306290"/>
                          <a:ext cx="3657600" cy="947420"/>
                        </a:xfrm>
                        <a:prstGeom prst="rect">
                          <a:avLst/>
                        </a:prstGeom>
                        <a:noFill/>
                        <a:ln>
                          <a:noFill/>
                        </a:ln>
                      </wps:spPr>
                      <wps:txbx>
                        <w:txbxContent>
                          <w:p w:rsidR="00000000" w:rsidDel="00000000" w:rsidP="00000000" w:rsidRDefault="00000000" w:rsidRPr="00000000">
                            <w:pPr>
                              <w:spacing w:after="80" w:before="16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000000"/>
                                <w:sz w:val="44"/>
                                <w:vertAlign w:val="baseline"/>
                              </w:rPr>
                              <w:t xml:space="preserve">데이터 수집</w:t>
                            </w:r>
                          </w:p>
                          <w:p w:rsidR="00000000" w:rsidDel="00000000" w:rsidP="00000000" w:rsidRDefault="00000000" w:rsidRPr="00000000">
                            <w:pPr>
                              <w:spacing w:after="80" w:before="16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000000"/>
                                <w:sz w:val="44"/>
                                <w:vertAlign w:val="baseline"/>
                              </w:rPr>
                            </w:r>
                            <w:r w:rsidDel="00000000" w:rsidR="00000000" w:rsidRPr="00000000">
                              <w:rPr>
                                <w:rFonts w:ascii="Malgun Gothic" w:cs="Malgun Gothic" w:eastAsia="Malgun Gothic" w:hAnsi="Malgun Gothic"/>
                                <w:b w:val="0"/>
                                <w:i w:val="0"/>
                                <w:smallCaps w:val="0"/>
                                <w:strike w:val="0"/>
                                <w:color w:val="000000"/>
                                <w:sz w:val="24"/>
                                <w:vertAlign w:val="baseline"/>
                              </w:rPr>
                              <w:t xml:space="preserve">SKN FAMILY AI CAMP 14기</w:t>
                            </w:r>
                          </w:p>
                        </w:txbxContent>
                      </wps:txbx>
                      <wps:bodyPr anchorCtr="0" anchor="t" bIns="45700" lIns="91425" spcFirstLastPara="1" rIns="91425" wrap="square" tIns="45700">
                        <a:noAutofit/>
                      </wps:bodyPr>
                    </wps:wsp>
                  </a:graphicData>
                </a:graphic>
              </wp:anchor>
            </w:drawing>
          </mc:Choice>
          <mc:Fallback>
            <w:drawing>
              <wp:anchor allowOverlap="1" behindDoc="0" distB="118745" distT="118745" distL="114300" distR="114300" hidden="0" layoutInCell="1" locked="0" relativeHeight="0" simplePos="0">
                <wp:simplePos x="0" y="0"/>
                <wp:positionH relativeFrom="column">
                  <wp:posOffset>-14283</wp:posOffset>
                </wp:positionH>
                <wp:positionV relativeFrom="paragraph">
                  <wp:posOffset>72713</wp:posOffset>
                </wp:positionV>
                <wp:extent cx="3686175" cy="975995"/>
                <wp:effectExtent b="0" l="0" r="0" t="0"/>
                <wp:wrapSquare wrapText="bothSides" distB="118745" distT="118745"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686175" cy="9759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5119370</wp:posOffset>
            </wp:positionH>
            <wp:positionV relativeFrom="paragraph">
              <wp:posOffset>0</wp:posOffset>
            </wp:positionV>
            <wp:extent cx="1514475" cy="499745"/>
            <wp:effectExtent b="0" l="0" r="0" t="0"/>
            <wp:wrapTopAndBottom distB="0" distT="0"/>
            <wp:docPr descr="그래픽, 폰트, 그래픽 디자인, 로고이(가) 표시된 사진&#10;&#10;AI 생성 콘텐츠는 정확하지 않을 수 있습니다." id="2" name="image2.png"/>
            <a:graphic>
              <a:graphicData uri="http://schemas.openxmlformats.org/drawingml/2006/picture">
                <pic:pic>
                  <pic:nvPicPr>
                    <pic:cNvPr descr="그래픽, 폰트, 그래픽 디자인, 로고이(가) 표시된 사진&#10;&#10;AI 생성 콘텐츠는 정확하지 않을 수 있습니다." id="0" name="image2.png"/>
                    <pic:cNvPicPr preferRelativeResize="0"/>
                  </pic:nvPicPr>
                  <pic:blipFill>
                    <a:blip r:embed="rId7"/>
                    <a:srcRect b="0" l="0" r="0" t="0"/>
                    <a:stretch>
                      <a:fillRect/>
                    </a:stretch>
                  </pic:blipFill>
                  <pic:spPr>
                    <a:xfrm>
                      <a:off x="0" y="0"/>
                      <a:ext cx="1514475" cy="49974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tbl>
      <w:tblPr>
        <w:tblStyle w:val="Table1"/>
        <w:tblW w:w="10485.0" w:type="dxa"/>
        <w:jc w:val="left"/>
        <w:tblBorders>
          <w:top w:color="4c94d8" w:space="0" w:sz="4" w:val="single"/>
          <w:left w:color="4c94d8" w:space="0" w:sz="4" w:val="single"/>
          <w:bottom w:color="4c94d8" w:space="0" w:sz="4" w:val="single"/>
          <w:right w:color="4c94d8" w:space="0" w:sz="4" w:val="single"/>
          <w:insideH w:color="4c94d8" w:space="0" w:sz="6" w:val="single"/>
          <w:insideV w:color="4c94d8" w:space="0" w:sz="6" w:val="single"/>
        </w:tblBorders>
        <w:tblLayout w:type="fixed"/>
        <w:tblLook w:val="0400"/>
      </w:tblPr>
      <w:tblGrid>
        <w:gridCol w:w="1980"/>
        <w:gridCol w:w="3118"/>
        <w:gridCol w:w="1701"/>
        <w:gridCol w:w="3686"/>
        <w:tblGridChange w:id="0">
          <w:tblGrid>
            <w:gridCol w:w="1980"/>
            <w:gridCol w:w="3118"/>
            <w:gridCol w:w="1701"/>
            <w:gridCol w:w="3686"/>
          </w:tblGrid>
        </w:tblGridChange>
      </w:tblGrid>
      <w:tr>
        <w:trPr>
          <w:cantSplit w:val="0"/>
          <w:trHeight w:val="805.244078443247" w:hRule="atLeast"/>
          <w:tblHeader w:val="0"/>
        </w:trPr>
        <w:tc>
          <w:tcPr>
            <w:shd w:fill="00b0f0" w:val="clear"/>
            <w:vAlign w:val="center"/>
          </w:tcPr>
          <w:p w:rsidR="00000000" w:rsidDel="00000000" w:rsidP="00000000" w:rsidRDefault="00000000" w:rsidRPr="00000000" w14:paraId="00000003">
            <w:pPr>
              <w:jc w:val="center"/>
              <w:rPr>
                <w:b w:val="1"/>
              </w:rPr>
            </w:pPr>
            <w:r w:rsidDel="00000000" w:rsidR="00000000" w:rsidRPr="00000000">
              <w:rPr>
                <w:rFonts w:ascii="Gungsuh" w:cs="Gungsuh" w:eastAsia="Gungsuh" w:hAnsi="Gungsuh"/>
                <w:b w:val="1"/>
                <w:rtl w:val="0"/>
              </w:rPr>
              <w:t xml:space="preserve">프로젝트 주제</w:t>
            </w:r>
            <w:r w:rsidDel="00000000" w:rsidR="00000000" w:rsidRPr="00000000">
              <w:rPr>
                <w:rtl w:val="0"/>
              </w:rPr>
            </w:r>
          </w:p>
        </w:tc>
        <w:tc>
          <w:tcPr>
            <w:gridSpan w:val="3"/>
            <w:shd w:fill="auto" w:val="clear"/>
            <w:vAlign w:val="center"/>
          </w:tcPr>
          <w:p w:rsidR="00000000" w:rsidDel="00000000" w:rsidP="00000000" w:rsidRDefault="00000000" w:rsidRPr="00000000" w14:paraId="00000004">
            <w:pPr>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자체 sLLM을 활용한 은행 사내 업무 AI 플랫폼</w:t>
            </w:r>
          </w:p>
        </w:tc>
      </w:tr>
      <w:tr>
        <w:trPr>
          <w:cantSplit w:val="0"/>
          <w:trHeight w:val="825.560609056753" w:hRule="atLeast"/>
          <w:tblHeader w:val="0"/>
        </w:trPr>
        <w:tc>
          <w:tcPr>
            <w:shd w:fill="00b0f0" w:val="clear"/>
            <w:vAlign w:val="center"/>
          </w:tcPr>
          <w:p w:rsidR="00000000" w:rsidDel="00000000" w:rsidP="00000000" w:rsidRDefault="00000000" w:rsidRPr="00000000" w14:paraId="00000008">
            <w:pPr>
              <w:jc w:val="center"/>
              <w:rPr>
                <w:b w:val="1"/>
              </w:rPr>
            </w:pPr>
            <w:r w:rsidDel="00000000" w:rsidR="00000000" w:rsidRPr="00000000">
              <w:rPr>
                <w:rFonts w:ascii="Gungsuh" w:cs="Gungsuh" w:eastAsia="Gungsuh" w:hAnsi="Gungsuh"/>
                <w:b w:val="1"/>
                <w:rtl w:val="0"/>
              </w:rPr>
              <w:t xml:space="preserve">데이터 출처</w:t>
            </w:r>
            <w:r w:rsidDel="00000000" w:rsidR="00000000" w:rsidRPr="00000000">
              <w:rPr>
                <w:rtl w:val="0"/>
              </w:rPr>
            </w:r>
          </w:p>
        </w:tc>
        <w:tc>
          <w:tcPr>
            <w:shd w:fill="auto" w:val="cle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KB 국민은행, 여신금융협회, 금융감독원, Kaggle, huggingface</w:t>
            </w:r>
          </w:p>
        </w:tc>
        <w:tc>
          <w:tcPr>
            <w:shd w:fill="auto" w:val="clear"/>
            <w:vAlign w:val="center"/>
          </w:tcPr>
          <w:p w:rsidR="00000000" w:rsidDel="00000000" w:rsidP="00000000" w:rsidRDefault="00000000" w:rsidRPr="00000000" w14:paraId="0000000A">
            <w:pPr>
              <w:jc w:val="center"/>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데이터 형태</w:t>
            </w:r>
          </w:p>
        </w:tc>
        <w:tc>
          <w:tcPr>
            <w:shd w:fill="auto" w:val="cle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PDF 파일, CSV 파일</w:t>
            </w:r>
          </w:p>
        </w:tc>
      </w:tr>
      <w:tr>
        <w:trPr>
          <w:cantSplit w:val="0"/>
          <w:trHeight w:val="3220.976313772988" w:hRule="atLeast"/>
          <w:tblHeader w:val="0"/>
        </w:trPr>
        <w:tc>
          <w:tcPr>
            <w:shd w:fill="00b0f0" w:val="clear"/>
            <w:vAlign w:val="center"/>
          </w:tcPr>
          <w:p w:rsidR="00000000" w:rsidDel="00000000" w:rsidP="00000000" w:rsidRDefault="00000000" w:rsidRPr="00000000" w14:paraId="0000000C">
            <w:pPr>
              <w:rPr>
                <w:b w:val="1"/>
              </w:rPr>
            </w:pPr>
            <w:r w:rsidDel="00000000" w:rsidR="00000000" w:rsidRPr="00000000">
              <w:rPr>
                <w:rFonts w:ascii="Gungsuh" w:cs="Gungsuh" w:eastAsia="Gungsuh" w:hAnsi="Gungsuh"/>
                <w:b w:val="1"/>
                <w:rtl w:val="0"/>
              </w:rPr>
              <w:t xml:space="preserve">수집데이터 개요</w:t>
            </w:r>
            <w:r w:rsidDel="00000000" w:rsidR="00000000" w:rsidRPr="00000000">
              <w:rPr>
                <w:rtl w:val="0"/>
              </w:rPr>
            </w:r>
          </w:p>
        </w:tc>
        <w:tc>
          <w:tcPr>
            <w:gridSpan w:val="3"/>
            <w:shd w:fill="auto" w:val="cle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KB 국민은행의 여신 사업을 진행하게 될 은행 사내 직원이 여신 심사 업무 지원 플랫폼을 통해 금융 관련 질문과 답변(QnA)을 수행하고, 고객 심사 및 문서 기반 분석·보고서를 생성할 수 있는 플랫폼을 구성하기 위해 데이터를 수집함.</w:t>
            </w:r>
          </w:p>
          <w:p w:rsidR="00000000" w:rsidDel="00000000" w:rsidP="00000000" w:rsidRDefault="00000000" w:rsidRPr="00000000" w14:paraId="0000000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챗봇(자체 sLLM)이 정확한 답변 및 출처를 제공하기 위해 최신 법령/제도의 문서(PDF)위주 데이터 수집과 KB 국민은행의 내규 데이터와 여신업무 관련 문서 위주로 수집하였으며, 머신러닝 기반 대출 적정성 평가와 심사 결과 보고서 작성을 하기 위해 학습에 필요한 ‘대출 승인 분류 데이터 세트’를 Kaggle에서 수집함.</w:t>
            </w:r>
            <w:r w:rsidDel="00000000" w:rsidR="00000000" w:rsidRPr="00000000">
              <w:rPr>
                <w:rtl w:val="0"/>
              </w:rPr>
            </w:r>
          </w:p>
        </w:tc>
      </w:tr>
      <w:tr>
        <w:trPr>
          <w:cantSplit w:val="0"/>
          <w:trHeight w:val="6441.952627545975" w:hRule="atLeast"/>
          <w:tblHeader w:val="0"/>
        </w:trPr>
        <w:tc>
          <w:tcPr>
            <w:shd w:fill="00b0f0" w:val="clear"/>
            <w:vAlign w:val="center"/>
          </w:tcPr>
          <w:p w:rsidR="00000000" w:rsidDel="00000000" w:rsidP="00000000" w:rsidRDefault="00000000" w:rsidRPr="00000000" w14:paraId="00000012">
            <w:pPr>
              <w:jc w:val="center"/>
              <w:rPr>
                <w:b w:val="1"/>
              </w:rPr>
            </w:pPr>
            <w:r w:rsidDel="00000000" w:rsidR="00000000" w:rsidRPr="00000000">
              <w:rPr>
                <w:rFonts w:ascii="Gungsuh" w:cs="Gungsuh" w:eastAsia="Gungsuh" w:hAnsi="Gungsuh"/>
                <w:b w:val="1"/>
                <w:rtl w:val="0"/>
              </w:rPr>
              <w:t xml:space="preserve">데이터 출처</w:t>
            </w:r>
            <w:r w:rsidDel="00000000" w:rsidR="00000000" w:rsidRPr="00000000">
              <w:rPr>
                <w:rtl w:val="0"/>
              </w:rPr>
            </w:r>
          </w:p>
        </w:tc>
        <w:tc>
          <w:tcPr>
            <w:gridSpan w:val="3"/>
            <w:shd w:fill="auto" w:val="cle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KB 금융 블로그</w:t>
              <w:br w:type="textWrapping"/>
            </w:r>
            <w:hyperlink r:id="rId8">
              <w:r w:rsidDel="00000000" w:rsidR="00000000" w:rsidRPr="00000000">
                <w:rPr>
                  <w:rFonts w:ascii="Malgun Gothic" w:cs="Malgun Gothic" w:eastAsia="Malgun Gothic" w:hAnsi="Malgun Gothic"/>
                  <w:color w:val="467886"/>
                  <w:u w:val="single"/>
                  <w:rtl w:val="0"/>
                </w:rPr>
                <w:t xml:space="preserve">https://kbthink.com/loan.html</w:t>
              </w:r>
            </w:hyperlink>
            <w:r w:rsidDel="00000000" w:rsidR="00000000" w:rsidRPr="00000000">
              <w:rPr>
                <w:rFonts w:ascii="Malgun Gothic" w:cs="Malgun Gothic" w:eastAsia="Malgun Gothic" w:hAnsi="Malgun Gothic"/>
                <w:rtl w:val="0"/>
              </w:rPr>
              <w:br w:type="textWrapping"/>
              <w:t xml:space="preserve">KB 국민은행 고객센터</w:t>
              <w:br w:type="textWrapping"/>
            </w:r>
            <w:hyperlink r:id="rId9">
              <w:r w:rsidDel="00000000" w:rsidR="00000000" w:rsidRPr="00000000">
                <w:rPr>
                  <w:rFonts w:ascii="Malgun Gothic" w:cs="Malgun Gothic" w:eastAsia="Malgun Gothic" w:hAnsi="Malgun Gothic"/>
                  <w:color w:val="467886"/>
                  <w:u w:val="single"/>
                  <w:rtl w:val="0"/>
                </w:rPr>
                <w:t xml:space="preserve">https://obank.kbstar.com/quics?page=C019999&amp;cc=b034360:b034261</w:t>
              </w:r>
            </w:hyperlink>
            <w:r w:rsidDel="00000000" w:rsidR="00000000" w:rsidRPr="00000000">
              <w:rPr>
                <w:rFonts w:ascii="Malgun Gothic" w:cs="Malgun Gothic" w:eastAsia="Malgun Gothic" w:hAnsi="Malgun Gothic"/>
                <w:rtl w:val="0"/>
              </w:rPr>
              <w:br w:type="textWrapping"/>
              <w:t xml:space="preserve">KB 금융그룹 웹사이트</w:t>
              <w:br w:type="textWrapping"/>
            </w:r>
            <w:hyperlink r:id="rId10">
              <w:r w:rsidDel="00000000" w:rsidR="00000000" w:rsidRPr="00000000">
                <w:rPr>
                  <w:rFonts w:ascii="Malgun Gothic" w:cs="Malgun Gothic" w:eastAsia="Malgun Gothic" w:hAnsi="Malgun Gothic"/>
                  <w:color w:val="467886"/>
                  <w:u w:val="single"/>
                  <w:rtl w:val="0"/>
                </w:rPr>
                <w:t xml:space="preserve">https://www.kbfg.com/kor/ir/report/annual/list.jsp</w:t>
              </w:r>
            </w:hyperlink>
            <w:r w:rsidDel="00000000" w:rsidR="00000000" w:rsidRPr="00000000">
              <w:rPr>
                <w:rtl w:val="0"/>
              </w:rPr>
            </w:r>
          </w:p>
          <w:p w:rsidR="00000000" w:rsidDel="00000000" w:rsidP="00000000" w:rsidRDefault="00000000" w:rsidRPr="00000000" w14:paraId="0000001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여신금융협회</w:t>
              <w:br w:type="textWrapping"/>
            </w:r>
            <w:hyperlink r:id="rId11">
              <w:r w:rsidDel="00000000" w:rsidR="00000000" w:rsidRPr="00000000">
                <w:rPr>
                  <w:rFonts w:ascii="Malgun Gothic" w:cs="Malgun Gothic" w:eastAsia="Malgun Gothic" w:hAnsi="Malgun Gothic"/>
                  <w:color w:val="467886"/>
                  <w:u w:val="single"/>
                  <w:rtl w:val="0"/>
                </w:rPr>
                <w:t xml:space="preserve">https://www.crefia.or.kr/portal/infocenter/regulation/selfRegulation.xx</w:t>
              </w:r>
            </w:hyperlink>
            <w:r w:rsidDel="00000000" w:rsidR="00000000" w:rsidRPr="00000000">
              <w:rPr>
                <w:rtl w:val="0"/>
              </w:rPr>
            </w:r>
          </w:p>
          <w:p w:rsidR="00000000" w:rsidDel="00000000" w:rsidP="00000000" w:rsidRDefault="00000000" w:rsidRPr="00000000" w14:paraId="0000001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금융감독원</w:t>
            </w:r>
          </w:p>
          <w:p w:rsidR="00000000" w:rsidDel="00000000" w:rsidP="00000000" w:rsidRDefault="00000000" w:rsidRPr="00000000" w14:paraId="00000016">
            <w:pPr>
              <w:rPr>
                <w:rFonts w:ascii="Malgun Gothic" w:cs="Malgun Gothic" w:eastAsia="Malgun Gothic" w:hAnsi="Malgun Gothic"/>
              </w:rPr>
            </w:pPr>
            <w:hyperlink r:id="rId12">
              <w:r w:rsidDel="00000000" w:rsidR="00000000" w:rsidRPr="00000000">
                <w:rPr>
                  <w:rFonts w:ascii="Malgun Gothic" w:cs="Malgun Gothic" w:eastAsia="Malgun Gothic" w:hAnsi="Malgun Gothic"/>
                  <w:color w:val="467886"/>
                  <w:u w:val="single"/>
                  <w:rtl w:val="0"/>
                </w:rPr>
                <w:t xml:space="preserve">https://www.fss.or.kr/fss/bbs/B0000111/list.do?menuNo=200139</w:t>
              </w:r>
            </w:hyperlink>
            <w:r w:rsidDel="00000000" w:rsidR="00000000" w:rsidRPr="00000000">
              <w:rPr>
                <w:rtl w:val="0"/>
              </w:rPr>
            </w:r>
          </w:p>
          <w:p w:rsidR="00000000" w:rsidDel="00000000" w:rsidP="00000000" w:rsidRDefault="00000000" w:rsidRPr="00000000" w14:paraId="0000001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금융위원회</w:t>
            </w:r>
          </w:p>
          <w:p w:rsidR="00000000" w:rsidDel="00000000" w:rsidP="00000000" w:rsidRDefault="00000000" w:rsidRPr="00000000" w14:paraId="00000018">
            <w:pPr>
              <w:rPr>
                <w:rFonts w:ascii="Malgun Gothic" w:cs="Malgun Gothic" w:eastAsia="Malgun Gothic" w:hAnsi="Malgun Gothic"/>
              </w:rPr>
            </w:pPr>
            <w:hyperlink r:id="rId13">
              <w:r w:rsidDel="00000000" w:rsidR="00000000" w:rsidRPr="00000000">
                <w:rPr>
                  <w:rFonts w:ascii="Malgun Gothic" w:cs="Malgun Gothic" w:eastAsia="Malgun Gothic" w:hAnsi="Malgun Gothic"/>
                  <w:color w:val="467886"/>
                  <w:u w:val="single"/>
                  <w:rtl w:val="0"/>
                </w:rPr>
                <w:t xml:space="preserve">https://www.fsc.go.kr/index</w:t>
              </w:r>
            </w:hyperlink>
            <w:r w:rsidDel="00000000" w:rsidR="00000000" w:rsidRPr="00000000">
              <w:rPr>
                <w:rtl w:val="0"/>
              </w:rPr>
            </w:r>
          </w:p>
          <w:p w:rsidR="00000000" w:rsidDel="00000000" w:rsidP="00000000" w:rsidRDefault="00000000" w:rsidRPr="00000000" w14:paraId="000000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Kaggle - 개인 신용 대출(Loan Apporoval Classification)</w:t>
              <w:br w:type="textWrapping"/>
            </w:r>
            <w:hyperlink r:id="rId14">
              <w:r w:rsidDel="00000000" w:rsidR="00000000" w:rsidRPr="00000000">
                <w:rPr>
                  <w:rFonts w:ascii="Malgun Gothic" w:cs="Malgun Gothic" w:eastAsia="Malgun Gothic" w:hAnsi="Malgun Gothic"/>
                  <w:color w:val="467886"/>
                  <w:u w:val="single"/>
                  <w:rtl w:val="0"/>
                </w:rPr>
                <w:t xml:space="preserve">https://www.kaggle.com/datasets/taweilo/loan-approval-classification-data/data</w:t>
              </w:r>
            </w:hyperlink>
            <w:r w:rsidDel="00000000" w:rsidR="00000000" w:rsidRPr="00000000">
              <w:rPr>
                <w:rtl w:val="0"/>
              </w:rPr>
            </w:r>
          </w:p>
          <w:p w:rsidR="00000000" w:rsidDel="00000000" w:rsidP="00000000" w:rsidRDefault="00000000" w:rsidRPr="00000000" w14:paraId="0000001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Kaggle - 주택 담보 대출 (Home Loan Approval)</w:t>
              <w:br w:type="textWrapping"/>
            </w:r>
            <w:hyperlink r:id="rId15">
              <w:r w:rsidDel="00000000" w:rsidR="00000000" w:rsidRPr="00000000">
                <w:rPr>
                  <w:rFonts w:ascii="Malgun Gothic" w:cs="Malgun Gothic" w:eastAsia="Malgun Gothic" w:hAnsi="Malgun Gothic"/>
                  <w:color w:val="1155cc"/>
                  <w:u w:val="single"/>
                  <w:rtl w:val="0"/>
                </w:rPr>
                <w:t xml:space="preserve">https://www.kaggle.com/datasets/rishikeshkonapure/home-loan-approval</w:t>
              </w:r>
            </w:hyperlink>
            <w:r w:rsidDel="00000000" w:rsidR="00000000" w:rsidRPr="00000000">
              <w:rPr>
                <w:rtl w:val="0"/>
              </w:rPr>
            </w:r>
          </w:p>
          <w:p w:rsidR="00000000" w:rsidDel="00000000" w:rsidP="00000000" w:rsidRDefault="00000000" w:rsidRPr="00000000" w14:paraId="0000001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금융 QA/MCQA데이터</w:t>
            </w:r>
          </w:p>
          <w:p w:rsidR="00000000" w:rsidDel="00000000" w:rsidP="00000000" w:rsidRDefault="00000000" w:rsidRPr="00000000" w14:paraId="0000001C">
            <w:pPr>
              <w:rPr>
                <w:rFonts w:ascii="Malgun Gothic" w:cs="Malgun Gothic" w:eastAsia="Malgun Gothic" w:hAnsi="Malgun Gothic"/>
              </w:rPr>
            </w:pPr>
            <w:hyperlink r:id="rId16">
              <w:r w:rsidDel="00000000" w:rsidR="00000000" w:rsidRPr="00000000">
                <w:rPr>
                  <w:rFonts w:ascii="Malgun Gothic" w:cs="Malgun Gothic" w:eastAsia="Malgun Gothic" w:hAnsi="Malgun Gothic"/>
                  <w:color w:val="1155cc"/>
                  <w:u w:val="single"/>
                  <w:rtl w:val="0"/>
                </w:rPr>
                <w:t xml:space="preserve">https://huggingface.co/datasets/aiqwe/FinShibainu</w:t>
              </w:r>
            </w:hyperlink>
            <w:r w:rsidDel="00000000" w:rsidR="00000000" w:rsidRPr="00000000">
              <w:rPr>
                <w:rtl w:val="0"/>
              </w:rPr>
            </w:r>
          </w:p>
        </w:tc>
      </w:tr>
      <w:tr>
        <w:trPr>
          <w:cantSplit w:val="0"/>
          <w:trHeight w:val="2694" w:hRule="atLeast"/>
          <w:tblHeader w:val="0"/>
        </w:trPr>
        <w:tc>
          <w:tcPr>
            <w:shd w:fill="00b0f0" w:val="clear"/>
            <w:vAlign w:val="center"/>
          </w:tcPr>
          <w:p w:rsidR="00000000" w:rsidDel="00000000" w:rsidP="00000000" w:rsidRDefault="00000000" w:rsidRPr="00000000" w14:paraId="0000001F">
            <w:pPr>
              <w:jc w:val="center"/>
              <w:rPr>
                <w:b w:val="1"/>
              </w:rPr>
            </w:pPr>
            <w:r w:rsidDel="00000000" w:rsidR="00000000" w:rsidRPr="00000000">
              <w:rPr>
                <w:rFonts w:ascii="Gungsuh" w:cs="Gungsuh" w:eastAsia="Gungsuh" w:hAnsi="Gungsuh"/>
                <w:b w:val="1"/>
                <w:rtl w:val="0"/>
              </w:rPr>
              <w:t xml:space="preserve">원본 데이터 예시</w:t>
            </w:r>
            <w:r w:rsidDel="00000000" w:rsidR="00000000" w:rsidRPr="00000000">
              <w:rPr>
                <w:rtl w:val="0"/>
              </w:rPr>
            </w:r>
          </w:p>
        </w:tc>
        <w:tc>
          <w:tcPr>
            <w:gridSpan w:val="3"/>
            <w:shd w:fill="auto" w:val="clear"/>
            <w:vAlign w:val="center"/>
          </w:tcPr>
          <w:p w:rsidR="00000000" w:rsidDel="00000000" w:rsidP="00000000" w:rsidRDefault="00000000" w:rsidRPr="00000000" w14:paraId="00000020">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rPr>
              <w:drawing>
                <wp:inline distB="0" distT="0" distL="0" distR="0">
                  <wp:extent cx="2495113" cy="2288418"/>
                  <wp:effectExtent b="0" l="0" r="0" t="0"/>
                  <wp:docPr descr="텍스트, 스크린샷, 폰트, 웹 페이지이(가) 표시된 사진&#10;&#10;AI가 생성한 콘텐츠는 부정확할 수 있습니다." id="4" name="image3.png"/>
                  <a:graphic>
                    <a:graphicData uri="http://schemas.openxmlformats.org/drawingml/2006/picture">
                      <pic:pic>
                        <pic:nvPicPr>
                          <pic:cNvPr descr="텍스트, 스크린샷, 폰트, 웹 페이지이(가) 표시된 사진&#10;&#10;AI가 생성한 콘텐츠는 부정확할 수 있습니다." id="0" name="image3.png"/>
                          <pic:cNvPicPr preferRelativeResize="0"/>
                        </pic:nvPicPr>
                        <pic:blipFill>
                          <a:blip r:embed="rId17"/>
                          <a:srcRect b="0" l="0" r="0" t="0"/>
                          <a:stretch>
                            <a:fillRect/>
                          </a:stretch>
                        </pic:blipFill>
                        <pic:spPr>
                          <a:xfrm>
                            <a:off x="0" y="0"/>
                            <a:ext cx="2495113" cy="2288418"/>
                          </a:xfrm>
                          <a:prstGeom prst="rect"/>
                          <a:ln/>
                        </pic:spPr>
                      </pic:pic>
                    </a:graphicData>
                  </a:graphic>
                </wp:inline>
              </w:drawing>
            </w:r>
            <w:r w:rsidDel="00000000" w:rsidR="00000000" w:rsidRPr="00000000">
              <w:rPr>
                <w:rFonts w:ascii="Malgun Gothic" w:cs="Malgun Gothic" w:eastAsia="Malgun Gothic" w:hAnsi="Malgun Gothic"/>
              </w:rPr>
              <w:drawing>
                <wp:inline distB="0" distT="0" distL="0" distR="0">
                  <wp:extent cx="2478031" cy="2311109"/>
                  <wp:effectExtent b="0" l="0" r="0" t="0"/>
                  <wp:docPr descr="텍스트, 스크린샷, 평행, 번호이(가) 표시된 사진&#10;&#10;AI가 생성한 콘텐츠는 부정확할 수 있습니다." id="3" name="image1.png"/>
                  <a:graphic>
                    <a:graphicData uri="http://schemas.openxmlformats.org/drawingml/2006/picture">
                      <pic:pic>
                        <pic:nvPicPr>
                          <pic:cNvPr descr="텍스트, 스크린샷, 평행, 번호이(가) 표시된 사진&#10;&#10;AI가 생성한 콘텐츠는 부정확할 수 있습니다." id="0" name="image1.png"/>
                          <pic:cNvPicPr preferRelativeResize="0"/>
                        </pic:nvPicPr>
                        <pic:blipFill>
                          <a:blip r:embed="rId18"/>
                          <a:srcRect b="0" l="0" r="0" t="0"/>
                          <a:stretch>
                            <a:fillRect/>
                          </a:stretch>
                        </pic:blipFill>
                        <pic:spPr>
                          <a:xfrm>
                            <a:off x="0" y="0"/>
                            <a:ext cx="2478031" cy="23111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Rule="auto"/>
              <w:ind w:firstLine="500"/>
              <w:rPr>
                <w:rFonts w:ascii="Malgun Gothic" w:cs="Malgun Gothic" w:eastAsia="Malgun Gothic" w:hAnsi="Malgun Gothic"/>
                <w:b w:val="1"/>
                <w:color w:val="000000"/>
                <w:sz w:val="20"/>
                <w:szCs w:val="20"/>
              </w:rPr>
            </w:pPr>
            <w:r w:rsidDel="00000000" w:rsidR="00000000" w:rsidRPr="00000000">
              <w:rPr>
                <w:rFonts w:ascii="Malgun Gothic" w:cs="Malgun Gothic" w:eastAsia="Malgun Gothic" w:hAnsi="Malgun Gothic"/>
                <w:b w:val="1"/>
                <w:sz w:val="20"/>
                <w:szCs w:val="20"/>
                <w:rtl w:val="0"/>
              </w:rPr>
              <w:t xml:space="preserve">   </w:t>
            </w:r>
            <w:r w:rsidDel="00000000" w:rsidR="00000000" w:rsidRPr="00000000">
              <w:rPr>
                <w:rFonts w:ascii="Malgun Gothic" w:cs="Malgun Gothic" w:eastAsia="Malgun Gothic" w:hAnsi="Malgun Gothic"/>
                <w:b w:val="1"/>
                <w:color w:val="000000"/>
                <w:sz w:val="20"/>
                <w:szCs w:val="20"/>
                <w:rtl w:val="0"/>
              </w:rPr>
              <w:t xml:space="preserve">&lt;KB 금융 블로그 자주 묻는 질문&gt;                                   &lt;금융상품설명서 PDF &gt;</w:t>
            </w:r>
          </w:p>
        </w:tc>
      </w:tr>
      <w:tr>
        <w:trPr>
          <w:cantSplit w:val="0"/>
          <w:trHeight w:val="3243" w:hRule="atLeast"/>
          <w:tblHeader w:val="0"/>
        </w:trPr>
        <w:tc>
          <w:tcPr>
            <w:shd w:fill="00b0f0" w:val="clear"/>
            <w:vAlign w:val="center"/>
          </w:tcPr>
          <w:p w:rsidR="00000000" w:rsidDel="00000000" w:rsidP="00000000" w:rsidRDefault="00000000" w:rsidRPr="00000000" w14:paraId="00000024">
            <w:pPr>
              <w:jc w:val="center"/>
              <w:rPr>
                <w:b w:val="1"/>
              </w:rPr>
            </w:pPr>
            <w:r w:rsidDel="00000000" w:rsidR="00000000" w:rsidRPr="00000000">
              <w:rPr>
                <w:rFonts w:ascii="Gungsuh" w:cs="Gungsuh" w:eastAsia="Gungsuh" w:hAnsi="Gungsuh"/>
                <w:b w:val="1"/>
                <w:rtl w:val="0"/>
              </w:rPr>
              <w:t xml:space="preserve">데이터 전처리 시 유의할 점</w:t>
            </w:r>
            <w:r w:rsidDel="00000000" w:rsidR="00000000" w:rsidRPr="00000000">
              <w:rPr>
                <w:rtl w:val="0"/>
              </w:rPr>
            </w:r>
          </w:p>
        </w:tc>
        <w:tc>
          <w:tcPr>
            <w:gridSpan w:val="3"/>
            <w:shd w:fill="auto" w:val="clear"/>
            <w:vAlign w:val="center"/>
          </w:tcPr>
          <w:p w:rsidR="00000000" w:rsidDel="00000000" w:rsidP="00000000" w:rsidRDefault="00000000" w:rsidRPr="00000000" w14:paraId="0000002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데이터 전처리 과정에서는 PDF 문서를 단순히 불러오는 것만으로는 충분하지 않다는 점을 유의해야 함. 예를 들어, PDF 문서의 특성상 표, 이미지, 각주, 머리말·꼬리말, 불필요한 공백이나 줄바꿈 등이 그대로 텍스트로 추출되면 문장이 끊기거나 의미가 왜곡될 수 있음. 또한 약관, 규정, 상품설명서와 같은 금융 문서들은 법률적 용어와 긴 문장이 많아 작은 오류만 있어도 검색이나 질의응답 시 부정확한 결과가 발생할 수 있음. 이러한 문제를 해결하기 위해서는 단순 로더(loader)를 통한 불러오기보다는 파서(parser)를 활용하여 텍스트 구조를 보다 정교하게 추출하고, 이후 불필요한 기호 제거, 문장 단위 분할, 표준화와 같은 전처리를 거쳐야 함. 최종적으로는 이러한 전처리 과정을 통해 데이터의 품질을 확보함으로써 RAG 시스템에서의 검색 정확도를 높이고, 파인튜닝 데이터셋 역시 안정적으로 구축할 수 있음.</w:t>
            </w:r>
          </w:p>
          <w:p w:rsidR="00000000" w:rsidDel="00000000" w:rsidP="00000000" w:rsidRDefault="00000000" w:rsidRPr="00000000" w14:paraId="0000002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또한 sLLM 학습 데이터 생성 시, 선택한 모델(Qwen2.5-7B-Instruct)에 맞는 토크나이저와 스페셜 토큰을 적용하여 모델 전용 데이터셋으로 제작해야 함. 또한 Q&amp;A셋으로 만들어 질문에 대한 답변을 준비할 수 있도록 해야 함.</w:t>
            </w:r>
          </w:p>
        </w:tc>
      </w:tr>
    </w:tbl>
    <w:p w:rsidR="00000000" w:rsidDel="00000000" w:rsidP="00000000" w:rsidRDefault="00000000" w:rsidRPr="00000000" w14:paraId="00000029">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refia.or.kr/portal/infocenter/regulation/selfRegulation.xx" TargetMode="External"/><Relationship Id="rId10" Type="http://schemas.openxmlformats.org/officeDocument/2006/relationships/hyperlink" Target="https://www.kbfg.com/kor/ir/report/annual/list.jsp" TargetMode="External"/><Relationship Id="rId13" Type="http://schemas.openxmlformats.org/officeDocument/2006/relationships/hyperlink" Target="https://www.fsc.go.kr/index" TargetMode="External"/><Relationship Id="rId12" Type="http://schemas.openxmlformats.org/officeDocument/2006/relationships/hyperlink" Target="https://www.fss.or.kr/fss/bbs/B0000111/list.do?menuNo=2001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ank.kbstar.com/quics?page=C019999&amp;cc=b034360:b034261" TargetMode="External"/><Relationship Id="rId15" Type="http://schemas.openxmlformats.org/officeDocument/2006/relationships/hyperlink" Target="https://www.kaggle.com/datasets/rishikeshkonapure/home-loan-approval" TargetMode="External"/><Relationship Id="rId14" Type="http://schemas.openxmlformats.org/officeDocument/2006/relationships/hyperlink" Target="https://www.kaggle.com/datasets/taweilo/loan-approval-classification-data/data" TargetMode="External"/><Relationship Id="rId17" Type="http://schemas.openxmlformats.org/officeDocument/2006/relationships/image" Target="media/image3.png"/><Relationship Id="rId16" Type="http://schemas.openxmlformats.org/officeDocument/2006/relationships/hyperlink" Target="https://huggingface.co/datasets/aiqwe/FinShibainu" TargetMode="Externa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kbthink.com/lo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